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1519" w14:textId="77777777" w:rsidR="00737ABA" w:rsidRDefault="00737ABA" w:rsidP="00C7337E">
      <w:pPr>
        <w:autoSpaceDE w:val="0"/>
        <w:autoSpaceDN w:val="0"/>
        <w:adjustRightInd w:val="0"/>
        <w:ind w:firstLine="720"/>
        <w:jc w:val="center"/>
        <w:rPr>
          <w:rFonts w:ascii="Arial Narrow" w:hAnsi="Arial Narrow" w:cs="Arial"/>
          <w:b/>
          <w:bCs/>
        </w:rPr>
      </w:pPr>
    </w:p>
    <w:p w14:paraId="70BF3F1C" w14:textId="2B211A48" w:rsidR="00C7337E" w:rsidRPr="00737ABA" w:rsidRDefault="00C7337E" w:rsidP="00C7337E">
      <w:pPr>
        <w:autoSpaceDE w:val="0"/>
        <w:autoSpaceDN w:val="0"/>
        <w:adjustRightInd w:val="0"/>
        <w:ind w:firstLine="720"/>
        <w:jc w:val="center"/>
        <w:rPr>
          <w:rFonts w:ascii="Arial Narrow" w:hAnsi="Arial Narrow" w:cs="Arial"/>
          <w:b/>
          <w:bCs/>
        </w:rPr>
      </w:pPr>
      <w:r w:rsidRPr="00737ABA">
        <w:rPr>
          <w:rFonts w:ascii="Arial Narrow" w:hAnsi="Arial Narrow" w:cs="Arial"/>
          <w:b/>
          <w:bCs/>
        </w:rPr>
        <w:t>Valmieras novada pašvaldības 2022. gada budžeta izpildes skaidrojums</w:t>
      </w:r>
    </w:p>
    <w:p w14:paraId="73E50530" w14:textId="77777777" w:rsidR="00C7337E" w:rsidRPr="00737ABA" w:rsidRDefault="00C7337E" w:rsidP="00C7337E">
      <w:pPr>
        <w:autoSpaceDE w:val="0"/>
        <w:autoSpaceDN w:val="0"/>
        <w:adjustRightInd w:val="0"/>
        <w:ind w:firstLine="720"/>
        <w:jc w:val="center"/>
        <w:rPr>
          <w:rFonts w:ascii="Arial Narrow" w:hAnsi="Arial Narrow" w:cs="Arial"/>
        </w:rPr>
      </w:pPr>
      <w:r w:rsidRPr="00737ABA">
        <w:rPr>
          <w:rFonts w:ascii="Arial Narrow" w:hAnsi="Arial Narrow" w:cs="Arial"/>
        </w:rPr>
        <w:t>Valmiera</w:t>
      </w:r>
    </w:p>
    <w:p w14:paraId="3404F18F" w14:textId="77777777" w:rsidR="00C7337E" w:rsidRPr="00737ABA" w:rsidRDefault="00C7337E" w:rsidP="00C7337E">
      <w:pPr>
        <w:autoSpaceDE w:val="0"/>
        <w:autoSpaceDN w:val="0"/>
        <w:adjustRightInd w:val="0"/>
        <w:ind w:firstLine="720"/>
        <w:jc w:val="center"/>
        <w:rPr>
          <w:rFonts w:ascii="Arial Narrow" w:hAnsi="Arial Narrow" w:cs="Arial"/>
          <w:b/>
        </w:rPr>
      </w:pPr>
    </w:p>
    <w:p w14:paraId="3CB3BCD0"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2022. gada 3. februārī Valmieras novada pašvaldības (turpmāk – Pašvaldība) dome apstiprināja Saistošos noteikumus Nr. 37 „Par Valmieras novada pašvaldības 2022. gada budžetu”. Lai precizētu pašvaldības budžeta ieņēmumus un izdevumus atbilstoši Pašvaldības izstrādātajiem metodiskajiem noteikumiem, Pašvaldības dome pārskata gada 26. maijā, 28. jūlijā, 29. septembrī, 29.  decembrī un 2023. gada 30. martā apstiprinājusi saistošos noteikumus par grozījumiem Pašvaldības 2022. gada budžetā.</w:t>
      </w:r>
    </w:p>
    <w:p w14:paraId="565F4470" w14:textId="77777777" w:rsidR="00C7337E" w:rsidRPr="00737ABA" w:rsidRDefault="00C7337E" w:rsidP="00C7337E">
      <w:pPr>
        <w:ind w:firstLine="720"/>
        <w:jc w:val="both"/>
        <w:rPr>
          <w:rFonts w:ascii="Arial Narrow" w:hAnsi="Arial Narrow" w:cs="Arial"/>
          <w:bCs/>
          <w:color w:val="000000"/>
          <w:sz w:val="22"/>
          <w:szCs w:val="22"/>
        </w:rPr>
      </w:pPr>
      <w:r w:rsidRPr="00737ABA">
        <w:rPr>
          <w:rFonts w:ascii="Arial Narrow" w:hAnsi="Arial Narrow" w:cs="Arial"/>
          <w:sz w:val="22"/>
          <w:szCs w:val="22"/>
        </w:rPr>
        <w:t>Pašvaldības budžets sastāv no pamatbudžeta un ziedojumu un dāvinājumu budžeta līdzekļiem</w:t>
      </w:r>
      <w:r w:rsidRPr="00737ABA">
        <w:rPr>
          <w:rStyle w:val="CommentReference"/>
          <w:rFonts w:ascii="Arial Narrow" w:hAnsi="Arial Narrow"/>
          <w:lang w:eastAsia="en-US"/>
        </w:rPr>
        <w:t>,</w:t>
      </w:r>
      <w:r w:rsidRPr="00737ABA">
        <w:rPr>
          <w:rFonts w:ascii="Arial Narrow" w:hAnsi="Arial Narrow" w:cs="Arial"/>
          <w:sz w:val="22"/>
          <w:szCs w:val="22"/>
        </w:rPr>
        <w:t xml:space="preserve"> kas tiek veidoti pēc naudas plūsmas principa un sastādīti, pamatojoties uz LR Ministru kabineta (turpmāk – MK)  noteikumiem par funkcionālo kategoriju uzskaiti un Valmieras novada pašvaldības rīkojumu „Par budžeta ieņēmumu, izdevumu un finansēšanas klasifikāciju”.</w:t>
      </w:r>
    </w:p>
    <w:p w14:paraId="1FD16477"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bCs/>
          <w:color w:val="000000"/>
          <w:sz w:val="22"/>
          <w:szCs w:val="22"/>
        </w:rPr>
        <w:t>Budžeta</w:t>
      </w:r>
      <w:r w:rsidRPr="00737ABA">
        <w:rPr>
          <w:rFonts w:ascii="Arial Narrow" w:hAnsi="Arial Narrow" w:cs="Arial"/>
          <w:sz w:val="22"/>
          <w:szCs w:val="22"/>
        </w:rPr>
        <w:t xml:space="preserve"> izpildes pārskatā 2022. gada 12 mēnešos (turpmāk - pārskata periods) ir iekļauti visi Pašvaldības iestāžu un struktūrvienību ieņēmumi un izdevumi. Budžeta izpildes rādītāji salīdzināti ar budžeta plānu pārskata periodam. </w:t>
      </w:r>
    </w:p>
    <w:p w14:paraId="3F07F2A9" w14:textId="77777777" w:rsidR="00C7337E" w:rsidRPr="00737ABA" w:rsidRDefault="00C7337E" w:rsidP="00C7337E">
      <w:pPr>
        <w:ind w:firstLine="360"/>
        <w:jc w:val="both"/>
        <w:rPr>
          <w:rFonts w:ascii="Arial Narrow" w:hAnsi="Arial Narrow" w:cs="Arial"/>
          <w:color w:val="222222"/>
          <w:sz w:val="22"/>
          <w:szCs w:val="22"/>
          <w:shd w:val="clear" w:color="auto" w:fill="FFFFFF"/>
        </w:rPr>
      </w:pPr>
      <w:r w:rsidRPr="00737ABA">
        <w:rPr>
          <w:rStyle w:val="PageNumber"/>
          <w:rFonts w:ascii="Arial Narrow" w:hAnsi="Arial Narrow" w:cs="Arial"/>
          <w:sz w:val="22"/>
          <w:szCs w:val="22"/>
        </w:rPr>
        <w:t xml:space="preserve">Kopš 2022. gada 24. februāra notiek kara darbība Ukrainā, kas </w:t>
      </w:r>
      <w:r w:rsidRPr="00737ABA">
        <w:rPr>
          <w:rFonts w:ascii="Arial Narrow" w:hAnsi="Arial Narrow" w:cs="Arial"/>
          <w:color w:val="222222"/>
          <w:sz w:val="22"/>
          <w:szCs w:val="22"/>
          <w:shd w:val="clear" w:color="auto" w:fill="FFFFFF"/>
        </w:rPr>
        <w:t>ir nesusi globālas ekonomiskās pārmaiņas visā pasaulē, tostarp Latvijā, ietekmējot arī Pašvaldībai veicamās funkcijas un budžetu.</w:t>
      </w:r>
    </w:p>
    <w:p w14:paraId="2EF51789" w14:textId="77777777" w:rsidR="00C7337E" w:rsidRPr="00737ABA" w:rsidRDefault="00C7337E" w:rsidP="00C7337E">
      <w:pPr>
        <w:ind w:firstLine="360"/>
        <w:jc w:val="both"/>
        <w:rPr>
          <w:rFonts w:ascii="Arial Narrow" w:hAnsi="Arial Narrow" w:cs="Arial"/>
          <w:color w:val="222222"/>
          <w:sz w:val="20"/>
          <w:szCs w:val="20"/>
          <w:shd w:val="clear" w:color="auto" w:fill="FFFFFF"/>
        </w:rPr>
      </w:pPr>
      <w:r w:rsidRPr="00737ABA">
        <w:rPr>
          <w:rFonts w:ascii="Arial Narrow" w:hAnsi="Arial Narrow" w:cs="Arial"/>
          <w:sz w:val="22"/>
          <w:szCs w:val="22"/>
        </w:rPr>
        <w:t xml:space="preserve"> Pašvaldības budžeta pārskata perioda kopējie ieņēmumi</w:t>
      </w:r>
      <w:r w:rsidRPr="00737ABA">
        <w:rPr>
          <w:rFonts w:ascii="Arial Narrow" w:hAnsi="Arial Narrow" w:cs="Arial"/>
          <w:sz w:val="22"/>
          <w:szCs w:val="22"/>
          <w:vertAlign w:val="superscript"/>
        </w:rPr>
        <w:footnoteReference w:id="1"/>
      </w:r>
      <w:r w:rsidRPr="00737ABA">
        <w:rPr>
          <w:rFonts w:ascii="Arial Narrow" w:hAnsi="Arial Narrow" w:cs="Arial"/>
          <w:sz w:val="22"/>
          <w:szCs w:val="22"/>
        </w:rPr>
        <w:t xml:space="preserve"> ir 98 535 417 </w:t>
      </w:r>
      <w:r w:rsidRPr="00737ABA">
        <w:rPr>
          <w:rFonts w:ascii="Arial Narrow" w:hAnsi="Arial Narrow" w:cs="Arial"/>
          <w:i/>
          <w:color w:val="000000"/>
          <w:sz w:val="22"/>
          <w:szCs w:val="22"/>
        </w:rPr>
        <w:t>euro</w:t>
      </w:r>
      <w:r w:rsidRPr="00737ABA">
        <w:rPr>
          <w:rFonts w:ascii="Arial Narrow" w:hAnsi="Arial Narrow" w:cs="Arial"/>
          <w:color w:val="000000"/>
          <w:sz w:val="22"/>
          <w:szCs w:val="22"/>
        </w:rPr>
        <w:t xml:space="preserve">. No kopējiem pārskata perioda ieņēmumiem </w:t>
      </w:r>
      <w:r w:rsidRPr="00737ABA">
        <w:rPr>
          <w:rFonts w:ascii="Arial Narrow" w:hAnsi="Arial Narrow" w:cs="Arial"/>
          <w:sz w:val="22"/>
          <w:szCs w:val="22"/>
        </w:rPr>
        <w:t xml:space="preserve">98 498 179 </w:t>
      </w:r>
      <w:r w:rsidRPr="00737ABA">
        <w:rPr>
          <w:rFonts w:ascii="Arial Narrow" w:hAnsi="Arial Narrow" w:cs="Arial"/>
          <w:i/>
          <w:color w:val="000000"/>
          <w:sz w:val="22"/>
          <w:szCs w:val="22"/>
        </w:rPr>
        <w:t>euro</w:t>
      </w:r>
      <w:r w:rsidRPr="00737ABA">
        <w:rPr>
          <w:rFonts w:ascii="Arial Narrow" w:hAnsi="Arial Narrow" w:cs="Arial"/>
          <w:color w:val="000000"/>
          <w:sz w:val="22"/>
          <w:szCs w:val="22"/>
        </w:rPr>
        <w:t xml:space="preserve"> (99,96 procenti) ir pamatbudžeta ieņēmumi un  37 238 </w:t>
      </w:r>
      <w:r w:rsidRPr="00737ABA">
        <w:rPr>
          <w:rFonts w:ascii="Arial Narrow" w:hAnsi="Arial Narrow" w:cs="Arial"/>
          <w:i/>
          <w:sz w:val="22"/>
          <w:szCs w:val="22"/>
        </w:rPr>
        <w:t>euro</w:t>
      </w:r>
      <w:r w:rsidRPr="00737ABA">
        <w:rPr>
          <w:rFonts w:ascii="Arial Narrow" w:hAnsi="Arial Narrow" w:cs="Arial"/>
          <w:sz w:val="22"/>
          <w:szCs w:val="22"/>
        </w:rPr>
        <w:t xml:space="preserve"> (0,04 procenti) - ziedojuma un dāvinājuma budžeta ieņēmumi.</w:t>
      </w:r>
    </w:p>
    <w:p w14:paraId="0B94A9F4" w14:textId="77777777" w:rsidR="00C7337E" w:rsidRPr="00737ABA" w:rsidRDefault="00C7337E" w:rsidP="00C7337E">
      <w:pPr>
        <w:autoSpaceDE w:val="0"/>
        <w:autoSpaceDN w:val="0"/>
        <w:adjustRightInd w:val="0"/>
        <w:ind w:firstLine="720"/>
        <w:jc w:val="both"/>
        <w:rPr>
          <w:rFonts w:ascii="Arial Narrow" w:hAnsi="Arial Narrow" w:cs="Arial"/>
        </w:rPr>
      </w:pPr>
    </w:p>
    <w:p w14:paraId="6148BE8B" w14:textId="77777777" w:rsidR="00C7337E" w:rsidRPr="00737ABA" w:rsidRDefault="00C7337E" w:rsidP="00C7337E">
      <w:pPr>
        <w:keepNext/>
        <w:numPr>
          <w:ilvl w:val="0"/>
          <w:numId w:val="1"/>
        </w:numPr>
        <w:autoSpaceDE w:val="0"/>
        <w:autoSpaceDN w:val="0"/>
        <w:adjustRightInd w:val="0"/>
        <w:jc w:val="both"/>
        <w:outlineLvl w:val="0"/>
        <w:rPr>
          <w:rFonts w:ascii="Arial Narrow" w:hAnsi="Arial Narrow" w:cs="Arial"/>
          <w:b/>
          <w:bCs/>
        </w:rPr>
      </w:pPr>
      <w:r w:rsidRPr="00737ABA">
        <w:rPr>
          <w:rFonts w:ascii="Arial Narrow" w:hAnsi="Arial Narrow" w:cs="Arial"/>
          <w:b/>
          <w:bCs/>
        </w:rPr>
        <w:t>Pamatbudžets</w:t>
      </w:r>
    </w:p>
    <w:p w14:paraId="3EC2D095" w14:textId="77777777" w:rsidR="00C7337E" w:rsidRPr="00737ABA" w:rsidRDefault="00C7337E" w:rsidP="00C7337E">
      <w:pPr>
        <w:keepNext/>
        <w:autoSpaceDE w:val="0"/>
        <w:autoSpaceDN w:val="0"/>
        <w:adjustRightInd w:val="0"/>
        <w:ind w:left="360"/>
        <w:outlineLvl w:val="0"/>
        <w:rPr>
          <w:rFonts w:ascii="Arial Narrow" w:hAnsi="Arial Narrow" w:cs="Arial"/>
          <w:b/>
          <w:bCs/>
          <w:sz w:val="28"/>
          <w:szCs w:val="28"/>
        </w:rPr>
      </w:pPr>
    </w:p>
    <w:p w14:paraId="52C8C828" w14:textId="77777777" w:rsidR="00C7337E" w:rsidRPr="00737ABA" w:rsidRDefault="00C7337E" w:rsidP="00C7337E">
      <w:pPr>
        <w:keepNext/>
        <w:numPr>
          <w:ilvl w:val="1"/>
          <w:numId w:val="1"/>
        </w:numPr>
        <w:tabs>
          <w:tab w:val="num" w:pos="900"/>
        </w:tabs>
        <w:autoSpaceDE w:val="0"/>
        <w:autoSpaceDN w:val="0"/>
        <w:adjustRightInd w:val="0"/>
        <w:jc w:val="both"/>
        <w:outlineLvl w:val="0"/>
        <w:rPr>
          <w:rFonts w:ascii="Arial Narrow" w:hAnsi="Arial Narrow" w:cs="Arial"/>
          <w:b/>
          <w:bCs/>
        </w:rPr>
      </w:pPr>
      <w:r w:rsidRPr="00737ABA">
        <w:rPr>
          <w:rFonts w:ascii="Arial Narrow" w:hAnsi="Arial Narrow" w:cs="Arial"/>
          <w:b/>
          <w:bCs/>
        </w:rPr>
        <w:t>Ieņēmumi</w:t>
      </w:r>
    </w:p>
    <w:p w14:paraId="7BB3932D" w14:textId="77777777" w:rsidR="00C7337E" w:rsidRPr="00737ABA" w:rsidRDefault="00C7337E" w:rsidP="00C7337E">
      <w:pPr>
        <w:keepNext/>
        <w:tabs>
          <w:tab w:val="num" w:pos="900"/>
        </w:tabs>
        <w:autoSpaceDE w:val="0"/>
        <w:autoSpaceDN w:val="0"/>
        <w:adjustRightInd w:val="0"/>
        <w:ind w:left="786"/>
        <w:jc w:val="both"/>
        <w:outlineLvl w:val="0"/>
        <w:rPr>
          <w:rFonts w:ascii="Arial Narrow" w:hAnsi="Arial Narrow" w:cs="Arial"/>
          <w:b/>
          <w:bCs/>
        </w:rPr>
      </w:pPr>
    </w:p>
    <w:p w14:paraId="33220DB9"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Pašvaldības pamatbudžeta ieņēmumus veido nodokļu un </w:t>
      </w:r>
      <w:proofErr w:type="spellStart"/>
      <w:r w:rsidRPr="00737ABA">
        <w:rPr>
          <w:rFonts w:ascii="Arial Narrow" w:hAnsi="Arial Narrow" w:cs="Arial"/>
          <w:sz w:val="22"/>
          <w:szCs w:val="22"/>
        </w:rPr>
        <w:t>nenodokļu</w:t>
      </w:r>
      <w:proofErr w:type="spellEnd"/>
      <w:r w:rsidRPr="00737ABA">
        <w:rPr>
          <w:rFonts w:ascii="Arial Narrow" w:hAnsi="Arial Narrow" w:cs="Arial"/>
          <w:sz w:val="22"/>
          <w:szCs w:val="22"/>
        </w:rPr>
        <w:t xml:space="preserve"> ieņēmumi, maksas pakalpojumi un citi pašu ieņēmumi, ārvalstu finanšu palīdzības līdzekļi, </w:t>
      </w:r>
      <w:proofErr w:type="spellStart"/>
      <w:r w:rsidRPr="00737ABA">
        <w:rPr>
          <w:rFonts w:ascii="Arial Narrow" w:hAnsi="Arial Narrow" w:cs="Arial"/>
          <w:sz w:val="22"/>
          <w:szCs w:val="22"/>
        </w:rPr>
        <w:t>transferti</w:t>
      </w:r>
      <w:proofErr w:type="spellEnd"/>
      <w:r w:rsidRPr="00737ABA">
        <w:rPr>
          <w:rFonts w:ascii="Arial Narrow" w:hAnsi="Arial Narrow" w:cs="Arial"/>
          <w:sz w:val="22"/>
          <w:szCs w:val="22"/>
        </w:rPr>
        <w:t xml:space="preserve"> no citiem budžetiem (citu pašvaldību, valsts, ES struktūrfondu, citu finanšu instrumentu un valsts budžeta finansējuma daļa projektu īstenošanai), kā arī starpība starp līdzekļu atlikumu gada sākumā un beigās un saņemto un atmaksāto aizņēmumu starpība.</w:t>
      </w:r>
    </w:p>
    <w:p w14:paraId="3C754D18"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2022. gada ieņēmumu plāns izpildīts 99,36 procentu apmērā. Ieņēmumu plāna izpilde tabulā Nr.1.1.1. un ieņēmumu struktūra attēlā Nr.1.1.1.</w:t>
      </w:r>
    </w:p>
    <w:p w14:paraId="7B1B7838" w14:textId="77777777" w:rsidR="00C7337E" w:rsidRPr="00737ABA" w:rsidRDefault="00C7337E" w:rsidP="00C7337E">
      <w:pPr>
        <w:ind w:firstLine="720"/>
        <w:jc w:val="both"/>
        <w:rPr>
          <w:rFonts w:ascii="Arial Narrow" w:hAnsi="Arial Narrow" w:cs="Arial"/>
        </w:rPr>
      </w:pPr>
    </w:p>
    <w:p w14:paraId="67DFE8C3" w14:textId="77777777" w:rsidR="00C7337E" w:rsidRPr="00737ABA" w:rsidRDefault="00C7337E" w:rsidP="00C7337E">
      <w:pPr>
        <w:autoSpaceDE w:val="0"/>
        <w:autoSpaceDN w:val="0"/>
        <w:adjustRightInd w:val="0"/>
        <w:spacing w:after="120"/>
        <w:ind w:firstLine="720"/>
        <w:jc w:val="both"/>
        <w:rPr>
          <w:rFonts w:ascii="Arial Narrow" w:hAnsi="Arial Narrow" w:cs="Arial"/>
          <w:sz w:val="20"/>
          <w:szCs w:val="20"/>
        </w:rPr>
      </w:pPr>
      <w:r w:rsidRPr="00737ABA">
        <w:rPr>
          <w:rFonts w:ascii="Arial Narrow" w:hAnsi="Arial Narrow" w:cs="Arial"/>
          <w:i/>
          <w:sz w:val="20"/>
          <w:szCs w:val="20"/>
        </w:rPr>
        <w:t xml:space="preserve">Tabula Nr.1.1.1. </w:t>
      </w:r>
      <w:r w:rsidRPr="00737ABA">
        <w:rPr>
          <w:rFonts w:ascii="Arial Narrow" w:hAnsi="Arial Narrow" w:cs="Arial"/>
          <w:sz w:val="20"/>
          <w:szCs w:val="20"/>
        </w:rPr>
        <w:t>Pašvaldības ieņēmumu struktūra un plāna izpilde 2022. gada janvārī-decembrī.</w:t>
      </w:r>
    </w:p>
    <w:tbl>
      <w:tblPr>
        <w:tblW w:w="9920" w:type="dxa"/>
        <w:tblLook w:val="04A0" w:firstRow="1" w:lastRow="0" w:firstColumn="1" w:lastColumn="0" w:noHBand="0" w:noVBand="1"/>
      </w:tblPr>
      <w:tblGrid>
        <w:gridCol w:w="3940"/>
        <w:gridCol w:w="1300"/>
        <w:gridCol w:w="1240"/>
        <w:gridCol w:w="1160"/>
        <w:gridCol w:w="1180"/>
        <w:gridCol w:w="1100"/>
      </w:tblGrid>
      <w:tr w:rsidR="00C7337E" w:rsidRPr="00737ABA" w14:paraId="19D23EB3" w14:textId="77777777" w:rsidTr="00E55C62">
        <w:trPr>
          <w:trHeight w:val="255"/>
        </w:trPr>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17AC0" w14:textId="77777777" w:rsidR="00C7337E" w:rsidRPr="00737ABA" w:rsidRDefault="00C7337E" w:rsidP="00E55C62">
            <w:pPr>
              <w:jc w:val="center"/>
              <w:rPr>
                <w:rFonts w:ascii="Arial Narrow" w:hAnsi="Arial Narrow" w:cs="Arial"/>
                <w:sz w:val="16"/>
                <w:szCs w:val="16"/>
              </w:rPr>
            </w:pPr>
            <w:r w:rsidRPr="00737ABA">
              <w:rPr>
                <w:rFonts w:ascii="Arial Narrow" w:hAnsi="Arial Narrow" w:cs="Arial"/>
                <w:sz w:val="16"/>
                <w:szCs w:val="16"/>
              </w:rPr>
              <w:t>Rādītājs</w:t>
            </w:r>
          </w:p>
        </w:tc>
        <w:tc>
          <w:tcPr>
            <w:tcW w:w="598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FEDF88" w14:textId="77777777" w:rsidR="00C7337E" w:rsidRPr="00737ABA" w:rsidRDefault="00C7337E" w:rsidP="00E55C62">
            <w:pPr>
              <w:jc w:val="center"/>
              <w:rPr>
                <w:rFonts w:ascii="Arial Narrow" w:hAnsi="Arial Narrow" w:cs="Arial"/>
                <w:sz w:val="16"/>
                <w:szCs w:val="16"/>
              </w:rPr>
            </w:pPr>
            <w:r w:rsidRPr="00737ABA">
              <w:rPr>
                <w:rFonts w:ascii="Arial Narrow" w:hAnsi="Arial Narrow" w:cs="Arial"/>
                <w:sz w:val="16"/>
                <w:szCs w:val="16"/>
              </w:rPr>
              <w:t>2022. gada 12 mēneši</w:t>
            </w:r>
          </w:p>
        </w:tc>
      </w:tr>
      <w:tr w:rsidR="00C7337E" w:rsidRPr="00737ABA" w14:paraId="40893101" w14:textId="77777777" w:rsidTr="00E55C62">
        <w:trPr>
          <w:trHeight w:val="450"/>
        </w:trPr>
        <w:tc>
          <w:tcPr>
            <w:tcW w:w="3940" w:type="dxa"/>
            <w:vMerge/>
            <w:tcBorders>
              <w:top w:val="single" w:sz="4" w:space="0" w:color="auto"/>
              <w:left w:val="single" w:sz="4" w:space="0" w:color="auto"/>
              <w:bottom w:val="single" w:sz="4" w:space="0" w:color="auto"/>
              <w:right w:val="single" w:sz="4" w:space="0" w:color="auto"/>
            </w:tcBorders>
            <w:vAlign w:val="center"/>
            <w:hideMark/>
          </w:tcPr>
          <w:p w14:paraId="31BC07C9" w14:textId="77777777" w:rsidR="00C7337E" w:rsidRPr="00737ABA" w:rsidRDefault="00C7337E" w:rsidP="00E55C62">
            <w:pPr>
              <w:rPr>
                <w:rFonts w:ascii="Arial Narrow" w:hAnsi="Arial Narrow" w:cs="Arial"/>
                <w:sz w:val="16"/>
                <w:szCs w:val="16"/>
              </w:rPr>
            </w:pPr>
          </w:p>
        </w:tc>
        <w:tc>
          <w:tcPr>
            <w:tcW w:w="1300" w:type="dxa"/>
            <w:tcBorders>
              <w:top w:val="nil"/>
              <w:left w:val="nil"/>
              <w:bottom w:val="single" w:sz="4" w:space="0" w:color="auto"/>
              <w:right w:val="single" w:sz="4" w:space="0" w:color="auto"/>
            </w:tcBorders>
            <w:shd w:val="clear" w:color="auto" w:fill="auto"/>
            <w:vAlign w:val="center"/>
            <w:hideMark/>
          </w:tcPr>
          <w:p w14:paraId="15836AB0" w14:textId="77777777" w:rsidR="00C7337E" w:rsidRPr="00737ABA" w:rsidRDefault="00C7337E" w:rsidP="00E55C62">
            <w:pPr>
              <w:jc w:val="center"/>
              <w:rPr>
                <w:rFonts w:ascii="Arial Narrow" w:hAnsi="Arial Narrow" w:cs="Arial"/>
                <w:sz w:val="16"/>
                <w:szCs w:val="16"/>
              </w:rPr>
            </w:pPr>
            <w:proofErr w:type="spellStart"/>
            <w:r w:rsidRPr="00737ABA">
              <w:rPr>
                <w:rFonts w:ascii="Arial Narrow" w:hAnsi="Arial Narrow" w:cs="Arial"/>
                <w:sz w:val="16"/>
                <w:szCs w:val="16"/>
              </w:rPr>
              <w:t>plāns,EUR</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6DA08C0B" w14:textId="77777777" w:rsidR="00C7337E" w:rsidRPr="00737ABA" w:rsidRDefault="00C7337E" w:rsidP="00E55C62">
            <w:pPr>
              <w:jc w:val="center"/>
              <w:rPr>
                <w:rFonts w:ascii="Arial Narrow" w:hAnsi="Arial Narrow" w:cs="Arial"/>
                <w:sz w:val="16"/>
                <w:szCs w:val="16"/>
              </w:rPr>
            </w:pPr>
            <w:proofErr w:type="spellStart"/>
            <w:r w:rsidRPr="00737ABA">
              <w:rPr>
                <w:rFonts w:ascii="Arial Narrow" w:hAnsi="Arial Narrow" w:cs="Arial"/>
                <w:sz w:val="16"/>
                <w:szCs w:val="16"/>
              </w:rPr>
              <w:t>izpilde,EUR</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43298558" w14:textId="77777777" w:rsidR="00C7337E" w:rsidRPr="00737ABA" w:rsidRDefault="00C7337E" w:rsidP="00E55C62">
            <w:pPr>
              <w:jc w:val="center"/>
              <w:rPr>
                <w:rFonts w:ascii="Arial Narrow" w:hAnsi="Arial Narrow" w:cs="Arial"/>
                <w:sz w:val="16"/>
                <w:szCs w:val="16"/>
              </w:rPr>
            </w:pPr>
            <w:r w:rsidRPr="00737ABA">
              <w:rPr>
                <w:rFonts w:ascii="Arial Narrow" w:hAnsi="Arial Narrow" w:cs="Arial"/>
                <w:sz w:val="16"/>
                <w:szCs w:val="16"/>
              </w:rPr>
              <w:t>ieņēmumu struktūra, %</w:t>
            </w:r>
          </w:p>
        </w:tc>
        <w:tc>
          <w:tcPr>
            <w:tcW w:w="1180" w:type="dxa"/>
            <w:tcBorders>
              <w:top w:val="nil"/>
              <w:left w:val="nil"/>
              <w:bottom w:val="single" w:sz="4" w:space="0" w:color="auto"/>
              <w:right w:val="single" w:sz="4" w:space="0" w:color="auto"/>
            </w:tcBorders>
            <w:shd w:val="clear" w:color="auto" w:fill="auto"/>
            <w:vAlign w:val="center"/>
            <w:hideMark/>
          </w:tcPr>
          <w:p w14:paraId="2AED6AD8" w14:textId="77777777" w:rsidR="00C7337E" w:rsidRPr="00737ABA" w:rsidRDefault="00C7337E" w:rsidP="00E55C62">
            <w:pPr>
              <w:jc w:val="center"/>
              <w:rPr>
                <w:rFonts w:ascii="Arial Narrow" w:hAnsi="Arial Narrow" w:cs="Arial"/>
                <w:sz w:val="16"/>
                <w:szCs w:val="16"/>
              </w:rPr>
            </w:pPr>
            <w:r w:rsidRPr="00737ABA">
              <w:rPr>
                <w:rFonts w:ascii="Arial Narrow" w:hAnsi="Arial Narrow" w:cs="Arial"/>
                <w:sz w:val="16"/>
                <w:szCs w:val="16"/>
              </w:rPr>
              <w:t xml:space="preserve">plāna </w:t>
            </w:r>
            <w:proofErr w:type="spellStart"/>
            <w:r w:rsidRPr="00737ABA">
              <w:rPr>
                <w:rFonts w:ascii="Arial Narrow" w:hAnsi="Arial Narrow" w:cs="Arial"/>
                <w:sz w:val="16"/>
                <w:szCs w:val="16"/>
              </w:rPr>
              <w:t>izpilde,EUR</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128AD31" w14:textId="77777777" w:rsidR="00C7337E" w:rsidRPr="00737ABA" w:rsidRDefault="00C7337E" w:rsidP="00E55C62">
            <w:pPr>
              <w:jc w:val="center"/>
              <w:rPr>
                <w:rFonts w:ascii="Arial Narrow" w:hAnsi="Arial Narrow" w:cs="Arial"/>
                <w:sz w:val="16"/>
                <w:szCs w:val="16"/>
              </w:rPr>
            </w:pPr>
            <w:r w:rsidRPr="00737ABA">
              <w:rPr>
                <w:rFonts w:ascii="Arial Narrow" w:hAnsi="Arial Narrow" w:cs="Arial"/>
                <w:sz w:val="16"/>
                <w:szCs w:val="16"/>
              </w:rPr>
              <w:t>gada plāna izpilde, %</w:t>
            </w:r>
          </w:p>
        </w:tc>
      </w:tr>
      <w:tr w:rsidR="00C7337E" w:rsidRPr="00737ABA" w14:paraId="1FE541CB"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A29C51C"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Iedzīvotāju ienākuma nodoklis</w:t>
            </w:r>
          </w:p>
        </w:tc>
        <w:tc>
          <w:tcPr>
            <w:tcW w:w="1300" w:type="dxa"/>
            <w:tcBorders>
              <w:top w:val="nil"/>
              <w:left w:val="nil"/>
              <w:bottom w:val="single" w:sz="4" w:space="0" w:color="auto"/>
              <w:right w:val="single" w:sz="4" w:space="0" w:color="auto"/>
            </w:tcBorders>
            <w:shd w:val="clear" w:color="auto" w:fill="auto"/>
            <w:noWrap/>
            <w:vAlign w:val="bottom"/>
            <w:hideMark/>
          </w:tcPr>
          <w:p w14:paraId="5F7BA387"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40 427 852</w:t>
            </w:r>
          </w:p>
        </w:tc>
        <w:tc>
          <w:tcPr>
            <w:tcW w:w="1240" w:type="dxa"/>
            <w:tcBorders>
              <w:top w:val="nil"/>
              <w:left w:val="nil"/>
              <w:bottom w:val="single" w:sz="4" w:space="0" w:color="auto"/>
              <w:right w:val="single" w:sz="4" w:space="0" w:color="auto"/>
            </w:tcBorders>
            <w:shd w:val="clear" w:color="auto" w:fill="auto"/>
            <w:noWrap/>
            <w:vAlign w:val="bottom"/>
            <w:hideMark/>
          </w:tcPr>
          <w:p w14:paraId="253D6283"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41 747 711</w:t>
            </w:r>
          </w:p>
        </w:tc>
        <w:tc>
          <w:tcPr>
            <w:tcW w:w="1160" w:type="dxa"/>
            <w:tcBorders>
              <w:top w:val="nil"/>
              <w:left w:val="nil"/>
              <w:bottom w:val="single" w:sz="4" w:space="0" w:color="auto"/>
              <w:right w:val="single" w:sz="4" w:space="0" w:color="auto"/>
            </w:tcBorders>
            <w:shd w:val="clear" w:color="auto" w:fill="auto"/>
            <w:noWrap/>
            <w:vAlign w:val="bottom"/>
            <w:hideMark/>
          </w:tcPr>
          <w:p w14:paraId="3EF907B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42.38</w:t>
            </w:r>
          </w:p>
        </w:tc>
        <w:tc>
          <w:tcPr>
            <w:tcW w:w="1180" w:type="dxa"/>
            <w:tcBorders>
              <w:top w:val="nil"/>
              <w:left w:val="nil"/>
              <w:bottom w:val="single" w:sz="4" w:space="0" w:color="auto"/>
              <w:right w:val="single" w:sz="4" w:space="0" w:color="auto"/>
            </w:tcBorders>
            <w:shd w:val="clear" w:color="auto" w:fill="auto"/>
            <w:noWrap/>
            <w:vAlign w:val="bottom"/>
            <w:hideMark/>
          </w:tcPr>
          <w:p w14:paraId="72A9E64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1 319 859</w:t>
            </w:r>
          </w:p>
        </w:tc>
        <w:tc>
          <w:tcPr>
            <w:tcW w:w="1100" w:type="dxa"/>
            <w:tcBorders>
              <w:top w:val="nil"/>
              <w:left w:val="nil"/>
              <w:bottom w:val="single" w:sz="4" w:space="0" w:color="auto"/>
              <w:right w:val="single" w:sz="4" w:space="0" w:color="auto"/>
            </w:tcBorders>
            <w:shd w:val="clear" w:color="auto" w:fill="auto"/>
            <w:noWrap/>
            <w:vAlign w:val="bottom"/>
            <w:hideMark/>
          </w:tcPr>
          <w:p w14:paraId="7AF4E43F"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103</w:t>
            </w:r>
          </w:p>
        </w:tc>
      </w:tr>
      <w:tr w:rsidR="00C7337E" w:rsidRPr="00737ABA" w14:paraId="06F3F8D6"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919DACB"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Nekustamā īpašuma nodoklis par zemi</w:t>
            </w:r>
          </w:p>
        </w:tc>
        <w:tc>
          <w:tcPr>
            <w:tcW w:w="1300" w:type="dxa"/>
            <w:tcBorders>
              <w:top w:val="nil"/>
              <w:left w:val="nil"/>
              <w:bottom w:val="single" w:sz="4" w:space="0" w:color="auto"/>
              <w:right w:val="single" w:sz="4" w:space="0" w:color="auto"/>
            </w:tcBorders>
            <w:shd w:val="clear" w:color="auto" w:fill="auto"/>
            <w:noWrap/>
            <w:vAlign w:val="bottom"/>
            <w:hideMark/>
          </w:tcPr>
          <w:p w14:paraId="2FEB739D"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2 553 941</w:t>
            </w:r>
          </w:p>
        </w:tc>
        <w:tc>
          <w:tcPr>
            <w:tcW w:w="1240" w:type="dxa"/>
            <w:tcBorders>
              <w:top w:val="nil"/>
              <w:left w:val="nil"/>
              <w:bottom w:val="single" w:sz="4" w:space="0" w:color="auto"/>
              <w:right w:val="single" w:sz="4" w:space="0" w:color="auto"/>
            </w:tcBorders>
            <w:shd w:val="clear" w:color="auto" w:fill="auto"/>
            <w:noWrap/>
            <w:vAlign w:val="bottom"/>
            <w:hideMark/>
          </w:tcPr>
          <w:p w14:paraId="76BF2E04"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1 986 166</w:t>
            </w:r>
          </w:p>
        </w:tc>
        <w:tc>
          <w:tcPr>
            <w:tcW w:w="1160" w:type="dxa"/>
            <w:tcBorders>
              <w:top w:val="nil"/>
              <w:left w:val="nil"/>
              <w:bottom w:val="single" w:sz="4" w:space="0" w:color="auto"/>
              <w:right w:val="single" w:sz="4" w:space="0" w:color="auto"/>
            </w:tcBorders>
            <w:shd w:val="clear" w:color="auto" w:fill="auto"/>
            <w:noWrap/>
            <w:vAlign w:val="bottom"/>
            <w:hideMark/>
          </w:tcPr>
          <w:p w14:paraId="1F554372"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2.02</w:t>
            </w:r>
          </w:p>
        </w:tc>
        <w:tc>
          <w:tcPr>
            <w:tcW w:w="1180" w:type="dxa"/>
            <w:tcBorders>
              <w:top w:val="nil"/>
              <w:left w:val="nil"/>
              <w:bottom w:val="single" w:sz="4" w:space="0" w:color="auto"/>
              <w:right w:val="single" w:sz="4" w:space="0" w:color="auto"/>
            </w:tcBorders>
            <w:shd w:val="clear" w:color="auto" w:fill="auto"/>
            <w:noWrap/>
            <w:vAlign w:val="bottom"/>
            <w:hideMark/>
          </w:tcPr>
          <w:p w14:paraId="250926C9"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-567 775</w:t>
            </w:r>
          </w:p>
        </w:tc>
        <w:tc>
          <w:tcPr>
            <w:tcW w:w="1100" w:type="dxa"/>
            <w:tcBorders>
              <w:top w:val="nil"/>
              <w:left w:val="nil"/>
              <w:bottom w:val="single" w:sz="4" w:space="0" w:color="auto"/>
              <w:right w:val="single" w:sz="4" w:space="0" w:color="auto"/>
            </w:tcBorders>
            <w:shd w:val="clear" w:color="auto" w:fill="auto"/>
            <w:noWrap/>
            <w:vAlign w:val="bottom"/>
            <w:hideMark/>
          </w:tcPr>
          <w:p w14:paraId="6B21B39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78</w:t>
            </w:r>
          </w:p>
        </w:tc>
      </w:tr>
      <w:tr w:rsidR="00C7337E" w:rsidRPr="00737ABA" w14:paraId="1A6082E6"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89DCDC8"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Nekustamā īpašuma nodoklis par ēkām</w:t>
            </w:r>
          </w:p>
        </w:tc>
        <w:tc>
          <w:tcPr>
            <w:tcW w:w="1300" w:type="dxa"/>
            <w:tcBorders>
              <w:top w:val="nil"/>
              <w:left w:val="nil"/>
              <w:bottom w:val="single" w:sz="4" w:space="0" w:color="auto"/>
              <w:right w:val="single" w:sz="4" w:space="0" w:color="auto"/>
            </w:tcBorders>
            <w:shd w:val="clear" w:color="auto" w:fill="auto"/>
            <w:noWrap/>
            <w:vAlign w:val="bottom"/>
            <w:hideMark/>
          </w:tcPr>
          <w:p w14:paraId="38EC59A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991 195</w:t>
            </w:r>
          </w:p>
        </w:tc>
        <w:tc>
          <w:tcPr>
            <w:tcW w:w="1240" w:type="dxa"/>
            <w:tcBorders>
              <w:top w:val="nil"/>
              <w:left w:val="nil"/>
              <w:bottom w:val="single" w:sz="4" w:space="0" w:color="auto"/>
              <w:right w:val="single" w:sz="4" w:space="0" w:color="auto"/>
            </w:tcBorders>
            <w:shd w:val="clear" w:color="auto" w:fill="auto"/>
            <w:noWrap/>
            <w:vAlign w:val="bottom"/>
            <w:hideMark/>
          </w:tcPr>
          <w:p w14:paraId="5E38605D"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1 510 113</w:t>
            </w:r>
          </w:p>
        </w:tc>
        <w:tc>
          <w:tcPr>
            <w:tcW w:w="1160" w:type="dxa"/>
            <w:tcBorders>
              <w:top w:val="nil"/>
              <w:left w:val="nil"/>
              <w:bottom w:val="single" w:sz="4" w:space="0" w:color="auto"/>
              <w:right w:val="single" w:sz="4" w:space="0" w:color="auto"/>
            </w:tcBorders>
            <w:shd w:val="clear" w:color="auto" w:fill="auto"/>
            <w:noWrap/>
            <w:vAlign w:val="bottom"/>
            <w:hideMark/>
          </w:tcPr>
          <w:p w14:paraId="33D5C3ED"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1.53</w:t>
            </w:r>
          </w:p>
        </w:tc>
        <w:tc>
          <w:tcPr>
            <w:tcW w:w="1180" w:type="dxa"/>
            <w:tcBorders>
              <w:top w:val="nil"/>
              <w:left w:val="nil"/>
              <w:bottom w:val="single" w:sz="4" w:space="0" w:color="auto"/>
              <w:right w:val="single" w:sz="4" w:space="0" w:color="auto"/>
            </w:tcBorders>
            <w:shd w:val="clear" w:color="auto" w:fill="auto"/>
            <w:noWrap/>
            <w:vAlign w:val="bottom"/>
            <w:hideMark/>
          </w:tcPr>
          <w:p w14:paraId="2ACA236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518 918</w:t>
            </w:r>
          </w:p>
        </w:tc>
        <w:tc>
          <w:tcPr>
            <w:tcW w:w="1100" w:type="dxa"/>
            <w:tcBorders>
              <w:top w:val="nil"/>
              <w:left w:val="nil"/>
              <w:bottom w:val="single" w:sz="4" w:space="0" w:color="auto"/>
              <w:right w:val="single" w:sz="4" w:space="0" w:color="auto"/>
            </w:tcBorders>
            <w:shd w:val="clear" w:color="auto" w:fill="auto"/>
            <w:noWrap/>
            <w:vAlign w:val="bottom"/>
            <w:hideMark/>
          </w:tcPr>
          <w:p w14:paraId="27BD0B20"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152</w:t>
            </w:r>
          </w:p>
        </w:tc>
      </w:tr>
      <w:tr w:rsidR="00C7337E" w:rsidRPr="00737ABA" w14:paraId="45AFC69E"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38A74D8"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Nekustamā īpašuma nodoklis par mājokli</w:t>
            </w:r>
          </w:p>
        </w:tc>
        <w:tc>
          <w:tcPr>
            <w:tcW w:w="1300" w:type="dxa"/>
            <w:tcBorders>
              <w:top w:val="nil"/>
              <w:left w:val="nil"/>
              <w:bottom w:val="single" w:sz="4" w:space="0" w:color="auto"/>
              <w:right w:val="single" w:sz="4" w:space="0" w:color="auto"/>
            </w:tcBorders>
            <w:shd w:val="clear" w:color="auto" w:fill="auto"/>
            <w:noWrap/>
            <w:vAlign w:val="bottom"/>
            <w:hideMark/>
          </w:tcPr>
          <w:p w14:paraId="71B13A4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491 777</w:t>
            </w:r>
          </w:p>
        </w:tc>
        <w:tc>
          <w:tcPr>
            <w:tcW w:w="1240" w:type="dxa"/>
            <w:tcBorders>
              <w:top w:val="nil"/>
              <w:left w:val="nil"/>
              <w:bottom w:val="single" w:sz="4" w:space="0" w:color="auto"/>
              <w:right w:val="single" w:sz="4" w:space="0" w:color="auto"/>
            </w:tcBorders>
            <w:shd w:val="clear" w:color="auto" w:fill="auto"/>
            <w:noWrap/>
            <w:vAlign w:val="bottom"/>
            <w:hideMark/>
          </w:tcPr>
          <w:p w14:paraId="37160F16"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618 837</w:t>
            </w:r>
          </w:p>
        </w:tc>
        <w:tc>
          <w:tcPr>
            <w:tcW w:w="1160" w:type="dxa"/>
            <w:tcBorders>
              <w:top w:val="nil"/>
              <w:left w:val="nil"/>
              <w:bottom w:val="single" w:sz="4" w:space="0" w:color="auto"/>
              <w:right w:val="single" w:sz="4" w:space="0" w:color="auto"/>
            </w:tcBorders>
            <w:shd w:val="clear" w:color="auto" w:fill="auto"/>
            <w:noWrap/>
            <w:vAlign w:val="bottom"/>
            <w:hideMark/>
          </w:tcPr>
          <w:p w14:paraId="644D8F8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0.63</w:t>
            </w:r>
          </w:p>
        </w:tc>
        <w:tc>
          <w:tcPr>
            <w:tcW w:w="1180" w:type="dxa"/>
            <w:tcBorders>
              <w:top w:val="nil"/>
              <w:left w:val="nil"/>
              <w:bottom w:val="single" w:sz="4" w:space="0" w:color="auto"/>
              <w:right w:val="single" w:sz="4" w:space="0" w:color="auto"/>
            </w:tcBorders>
            <w:shd w:val="clear" w:color="auto" w:fill="auto"/>
            <w:noWrap/>
            <w:vAlign w:val="bottom"/>
            <w:hideMark/>
          </w:tcPr>
          <w:p w14:paraId="0E888517"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127 060</w:t>
            </w:r>
          </w:p>
        </w:tc>
        <w:tc>
          <w:tcPr>
            <w:tcW w:w="1100" w:type="dxa"/>
            <w:tcBorders>
              <w:top w:val="nil"/>
              <w:left w:val="nil"/>
              <w:bottom w:val="single" w:sz="4" w:space="0" w:color="auto"/>
              <w:right w:val="single" w:sz="4" w:space="0" w:color="auto"/>
            </w:tcBorders>
            <w:shd w:val="clear" w:color="auto" w:fill="auto"/>
            <w:noWrap/>
            <w:vAlign w:val="bottom"/>
            <w:hideMark/>
          </w:tcPr>
          <w:p w14:paraId="266682A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126</w:t>
            </w:r>
          </w:p>
        </w:tc>
      </w:tr>
      <w:tr w:rsidR="00C7337E" w:rsidRPr="00737ABA" w14:paraId="2D220C71"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36375D7"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Azartspēļu nodoklis</w:t>
            </w:r>
          </w:p>
        </w:tc>
        <w:tc>
          <w:tcPr>
            <w:tcW w:w="1300" w:type="dxa"/>
            <w:tcBorders>
              <w:top w:val="nil"/>
              <w:left w:val="nil"/>
              <w:bottom w:val="single" w:sz="4" w:space="0" w:color="auto"/>
              <w:right w:val="single" w:sz="4" w:space="0" w:color="auto"/>
            </w:tcBorders>
            <w:shd w:val="clear" w:color="auto" w:fill="auto"/>
            <w:noWrap/>
            <w:vAlign w:val="bottom"/>
            <w:hideMark/>
          </w:tcPr>
          <w:p w14:paraId="19AC75CD"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21 550</w:t>
            </w:r>
          </w:p>
        </w:tc>
        <w:tc>
          <w:tcPr>
            <w:tcW w:w="1240" w:type="dxa"/>
            <w:tcBorders>
              <w:top w:val="nil"/>
              <w:left w:val="nil"/>
              <w:bottom w:val="single" w:sz="4" w:space="0" w:color="auto"/>
              <w:right w:val="single" w:sz="4" w:space="0" w:color="auto"/>
            </w:tcBorders>
            <w:shd w:val="clear" w:color="auto" w:fill="auto"/>
            <w:noWrap/>
            <w:vAlign w:val="bottom"/>
            <w:hideMark/>
          </w:tcPr>
          <w:p w14:paraId="082FF1E6"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28 298</w:t>
            </w:r>
          </w:p>
        </w:tc>
        <w:tc>
          <w:tcPr>
            <w:tcW w:w="1160" w:type="dxa"/>
            <w:tcBorders>
              <w:top w:val="nil"/>
              <w:left w:val="nil"/>
              <w:bottom w:val="single" w:sz="4" w:space="0" w:color="auto"/>
              <w:right w:val="single" w:sz="4" w:space="0" w:color="auto"/>
            </w:tcBorders>
            <w:shd w:val="clear" w:color="auto" w:fill="auto"/>
            <w:noWrap/>
            <w:vAlign w:val="bottom"/>
            <w:hideMark/>
          </w:tcPr>
          <w:p w14:paraId="325FAF6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0.03</w:t>
            </w:r>
          </w:p>
        </w:tc>
        <w:tc>
          <w:tcPr>
            <w:tcW w:w="1180" w:type="dxa"/>
            <w:tcBorders>
              <w:top w:val="nil"/>
              <w:left w:val="nil"/>
              <w:bottom w:val="single" w:sz="4" w:space="0" w:color="auto"/>
              <w:right w:val="single" w:sz="4" w:space="0" w:color="auto"/>
            </w:tcBorders>
            <w:shd w:val="clear" w:color="auto" w:fill="auto"/>
            <w:noWrap/>
            <w:vAlign w:val="bottom"/>
            <w:hideMark/>
          </w:tcPr>
          <w:p w14:paraId="1BD94B74"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6 748</w:t>
            </w:r>
          </w:p>
        </w:tc>
        <w:tc>
          <w:tcPr>
            <w:tcW w:w="1100" w:type="dxa"/>
            <w:tcBorders>
              <w:top w:val="nil"/>
              <w:left w:val="nil"/>
              <w:bottom w:val="single" w:sz="4" w:space="0" w:color="auto"/>
              <w:right w:val="single" w:sz="4" w:space="0" w:color="auto"/>
            </w:tcBorders>
            <w:shd w:val="clear" w:color="auto" w:fill="auto"/>
            <w:noWrap/>
            <w:vAlign w:val="bottom"/>
            <w:hideMark/>
          </w:tcPr>
          <w:p w14:paraId="7A3061B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131</w:t>
            </w:r>
          </w:p>
        </w:tc>
      </w:tr>
      <w:tr w:rsidR="00C7337E" w:rsidRPr="00737ABA" w14:paraId="19E5F65A"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E4405DF"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lastRenderedPageBreak/>
              <w:t>Dabas resursu nodoklis</w:t>
            </w:r>
          </w:p>
        </w:tc>
        <w:tc>
          <w:tcPr>
            <w:tcW w:w="1300" w:type="dxa"/>
            <w:tcBorders>
              <w:top w:val="nil"/>
              <w:left w:val="nil"/>
              <w:bottom w:val="single" w:sz="4" w:space="0" w:color="auto"/>
              <w:right w:val="single" w:sz="4" w:space="0" w:color="auto"/>
            </w:tcBorders>
            <w:shd w:val="clear" w:color="auto" w:fill="auto"/>
            <w:noWrap/>
            <w:vAlign w:val="bottom"/>
            <w:hideMark/>
          </w:tcPr>
          <w:p w14:paraId="62A2060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130 000</w:t>
            </w:r>
          </w:p>
        </w:tc>
        <w:tc>
          <w:tcPr>
            <w:tcW w:w="1240" w:type="dxa"/>
            <w:tcBorders>
              <w:top w:val="nil"/>
              <w:left w:val="nil"/>
              <w:bottom w:val="single" w:sz="4" w:space="0" w:color="auto"/>
              <w:right w:val="single" w:sz="4" w:space="0" w:color="auto"/>
            </w:tcBorders>
            <w:shd w:val="clear" w:color="auto" w:fill="auto"/>
            <w:noWrap/>
            <w:vAlign w:val="bottom"/>
            <w:hideMark/>
          </w:tcPr>
          <w:p w14:paraId="7CCE9927"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155 639</w:t>
            </w:r>
          </w:p>
        </w:tc>
        <w:tc>
          <w:tcPr>
            <w:tcW w:w="1160" w:type="dxa"/>
            <w:tcBorders>
              <w:top w:val="nil"/>
              <w:left w:val="nil"/>
              <w:bottom w:val="single" w:sz="4" w:space="0" w:color="auto"/>
              <w:right w:val="single" w:sz="4" w:space="0" w:color="auto"/>
            </w:tcBorders>
            <w:shd w:val="clear" w:color="auto" w:fill="auto"/>
            <w:noWrap/>
            <w:vAlign w:val="bottom"/>
            <w:hideMark/>
          </w:tcPr>
          <w:p w14:paraId="1CD6601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0.16</w:t>
            </w:r>
          </w:p>
        </w:tc>
        <w:tc>
          <w:tcPr>
            <w:tcW w:w="1180" w:type="dxa"/>
            <w:tcBorders>
              <w:top w:val="nil"/>
              <w:left w:val="nil"/>
              <w:bottom w:val="single" w:sz="4" w:space="0" w:color="auto"/>
              <w:right w:val="single" w:sz="4" w:space="0" w:color="auto"/>
            </w:tcBorders>
            <w:shd w:val="clear" w:color="auto" w:fill="auto"/>
            <w:noWrap/>
            <w:vAlign w:val="bottom"/>
            <w:hideMark/>
          </w:tcPr>
          <w:p w14:paraId="6731DE39"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25 639</w:t>
            </w:r>
          </w:p>
        </w:tc>
        <w:tc>
          <w:tcPr>
            <w:tcW w:w="1100" w:type="dxa"/>
            <w:tcBorders>
              <w:top w:val="nil"/>
              <w:left w:val="nil"/>
              <w:bottom w:val="single" w:sz="4" w:space="0" w:color="auto"/>
              <w:right w:val="single" w:sz="4" w:space="0" w:color="auto"/>
            </w:tcBorders>
            <w:shd w:val="clear" w:color="auto" w:fill="auto"/>
            <w:noWrap/>
            <w:vAlign w:val="bottom"/>
            <w:hideMark/>
          </w:tcPr>
          <w:p w14:paraId="7F27188E"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120</w:t>
            </w:r>
          </w:p>
        </w:tc>
      </w:tr>
      <w:tr w:rsidR="00C7337E" w:rsidRPr="00737ABA" w14:paraId="3F677306"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26288A6D" w14:textId="77777777" w:rsidR="00C7337E" w:rsidRPr="00737ABA" w:rsidRDefault="00C7337E" w:rsidP="00E55C62">
            <w:pPr>
              <w:rPr>
                <w:rFonts w:ascii="Arial Narrow" w:hAnsi="Arial Narrow" w:cs="Arial"/>
                <w:sz w:val="20"/>
                <w:szCs w:val="20"/>
              </w:rPr>
            </w:pPr>
            <w:proofErr w:type="spellStart"/>
            <w:r w:rsidRPr="00737ABA">
              <w:rPr>
                <w:rFonts w:ascii="Arial Narrow" w:hAnsi="Arial Narrow" w:cs="Arial"/>
                <w:sz w:val="20"/>
                <w:szCs w:val="20"/>
              </w:rPr>
              <w:t>Nenodokļu</w:t>
            </w:r>
            <w:proofErr w:type="spellEnd"/>
            <w:r w:rsidRPr="00737ABA">
              <w:rPr>
                <w:rFonts w:ascii="Arial Narrow" w:hAnsi="Arial Narrow" w:cs="Arial"/>
                <w:sz w:val="20"/>
                <w:szCs w:val="20"/>
              </w:rPr>
              <w:t xml:space="preserve"> ieņēmumi</w:t>
            </w:r>
          </w:p>
        </w:tc>
        <w:tc>
          <w:tcPr>
            <w:tcW w:w="1300" w:type="dxa"/>
            <w:tcBorders>
              <w:top w:val="nil"/>
              <w:left w:val="nil"/>
              <w:bottom w:val="single" w:sz="4" w:space="0" w:color="auto"/>
              <w:right w:val="single" w:sz="4" w:space="0" w:color="auto"/>
            </w:tcBorders>
            <w:shd w:val="clear" w:color="auto" w:fill="auto"/>
            <w:noWrap/>
            <w:vAlign w:val="bottom"/>
            <w:hideMark/>
          </w:tcPr>
          <w:p w14:paraId="7C53461F"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3 246 889</w:t>
            </w:r>
          </w:p>
        </w:tc>
        <w:tc>
          <w:tcPr>
            <w:tcW w:w="1240" w:type="dxa"/>
            <w:tcBorders>
              <w:top w:val="nil"/>
              <w:left w:val="nil"/>
              <w:bottom w:val="single" w:sz="4" w:space="0" w:color="auto"/>
              <w:right w:val="single" w:sz="4" w:space="0" w:color="auto"/>
            </w:tcBorders>
            <w:shd w:val="clear" w:color="auto" w:fill="auto"/>
            <w:noWrap/>
            <w:vAlign w:val="bottom"/>
            <w:hideMark/>
          </w:tcPr>
          <w:p w14:paraId="21B5FAE4"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2 668 889</w:t>
            </w:r>
          </w:p>
        </w:tc>
        <w:tc>
          <w:tcPr>
            <w:tcW w:w="1160" w:type="dxa"/>
            <w:tcBorders>
              <w:top w:val="nil"/>
              <w:left w:val="nil"/>
              <w:bottom w:val="single" w:sz="4" w:space="0" w:color="auto"/>
              <w:right w:val="single" w:sz="4" w:space="0" w:color="auto"/>
            </w:tcBorders>
            <w:shd w:val="clear" w:color="auto" w:fill="auto"/>
            <w:noWrap/>
            <w:vAlign w:val="bottom"/>
            <w:hideMark/>
          </w:tcPr>
          <w:p w14:paraId="5D66B865"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2.71</w:t>
            </w:r>
          </w:p>
        </w:tc>
        <w:tc>
          <w:tcPr>
            <w:tcW w:w="1180" w:type="dxa"/>
            <w:tcBorders>
              <w:top w:val="nil"/>
              <w:left w:val="nil"/>
              <w:bottom w:val="single" w:sz="4" w:space="0" w:color="auto"/>
              <w:right w:val="single" w:sz="4" w:space="0" w:color="auto"/>
            </w:tcBorders>
            <w:shd w:val="clear" w:color="auto" w:fill="auto"/>
            <w:noWrap/>
            <w:vAlign w:val="bottom"/>
            <w:hideMark/>
          </w:tcPr>
          <w:p w14:paraId="48BCE40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-578 000</w:t>
            </w:r>
          </w:p>
        </w:tc>
        <w:tc>
          <w:tcPr>
            <w:tcW w:w="1100" w:type="dxa"/>
            <w:tcBorders>
              <w:top w:val="nil"/>
              <w:left w:val="nil"/>
              <w:bottom w:val="single" w:sz="4" w:space="0" w:color="auto"/>
              <w:right w:val="single" w:sz="4" w:space="0" w:color="auto"/>
            </w:tcBorders>
            <w:shd w:val="clear" w:color="auto" w:fill="auto"/>
            <w:noWrap/>
            <w:vAlign w:val="bottom"/>
            <w:hideMark/>
          </w:tcPr>
          <w:p w14:paraId="11853C50"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82</w:t>
            </w:r>
          </w:p>
        </w:tc>
      </w:tr>
      <w:tr w:rsidR="00C7337E" w:rsidRPr="00737ABA" w14:paraId="2FA3306F"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7EB47C3A"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Maksas pakalpojumi, citi pašu ieņēmumi</w:t>
            </w:r>
          </w:p>
        </w:tc>
        <w:tc>
          <w:tcPr>
            <w:tcW w:w="1300" w:type="dxa"/>
            <w:tcBorders>
              <w:top w:val="nil"/>
              <w:left w:val="nil"/>
              <w:bottom w:val="single" w:sz="4" w:space="0" w:color="auto"/>
              <w:right w:val="single" w:sz="4" w:space="0" w:color="auto"/>
            </w:tcBorders>
            <w:shd w:val="clear" w:color="auto" w:fill="auto"/>
            <w:noWrap/>
            <w:vAlign w:val="bottom"/>
            <w:hideMark/>
          </w:tcPr>
          <w:p w14:paraId="6D0EAF1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5 248 782</w:t>
            </w:r>
          </w:p>
        </w:tc>
        <w:tc>
          <w:tcPr>
            <w:tcW w:w="1240" w:type="dxa"/>
            <w:tcBorders>
              <w:top w:val="nil"/>
              <w:left w:val="nil"/>
              <w:bottom w:val="single" w:sz="4" w:space="0" w:color="auto"/>
              <w:right w:val="single" w:sz="4" w:space="0" w:color="auto"/>
            </w:tcBorders>
            <w:shd w:val="clear" w:color="auto" w:fill="auto"/>
            <w:noWrap/>
            <w:vAlign w:val="bottom"/>
            <w:hideMark/>
          </w:tcPr>
          <w:p w14:paraId="6760B0B1"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5 312 124</w:t>
            </w:r>
          </w:p>
        </w:tc>
        <w:tc>
          <w:tcPr>
            <w:tcW w:w="1160" w:type="dxa"/>
            <w:tcBorders>
              <w:top w:val="nil"/>
              <w:left w:val="nil"/>
              <w:bottom w:val="single" w:sz="4" w:space="0" w:color="auto"/>
              <w:right w:val="single" w:sz="4" w:space="0" w:color="auto"/>
            </w:tcBorders>
            <w:shd w:val="clear" w:color="auto" w:fill="auto"/>
            <w:noWrap/>
            <w:vAlign w:val="bottom"/>
            <w:hideMark/>
          </w:tcPr>
          <w:p w14:paraId="03676952"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5.39</w:t>
            </w:r>
          </w:p>
        </w:tc>
        <w:tc>
          <w:tcPr>
            <w:tcW w:w="1180" w:type="dxa"/>
            <w:tcBorders>
              <w:top w:val="nil"/>
              <w:left w:val="nil"/>
              <w:bottom w:val="single" w:sz="4" w:space="0" w:color="auto"/>
              <w:right w:val="single" w:sz="4" w:space="0" w:color="auto"/>
            </w:tcBorders>
            <w:shd w:val="clear" w:color="auto" w:fill="auto"/>
            <w:noWrap/>
            <w:vAlign w:val="bottom"/>
            <w:hideMark/>
          </w:tcPr>
          <w:p w14:paraId="31401B4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63 342</w:t>
            </w:r>
          </w:p>
        </w:tc>
        <w:tc>
          <w:tcPr>
            <w:tcW w:w="1100" w:type="dxa"/>
            <w:tcBorders>
              <w:top w:val="nil"/>
              <w:left w:val="nil"/>
              <w:bottom w:val="single" w:sz="4" w:space="0" w:color="auto"/>
              <w:right w:val="single" w:sz="4" w:space="0" w:color="auto"/>
            </w:tcBorders>
            <w:shd w:val="clear" w:color="auto" w:fill="auto"/>
            <w:noWrap/>
            <w:vAlign w:val="bottom"/>
            <w:hideMark/>
          </w:tcPr>
          <w:p w14:paraId="0364086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101</w:t>
            </w:r>
          </w:p>
        </w:tc>
      </w:tr>
      <w:tr w:rsidR="00C7337E" w:rsidRPr="00737ABA" w14:paraId="17DA27D2"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2285E413"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Ārvalstu finanšu palīdzība</w:t>
            </w:r>
          </w:p>
        </w:tc>
        <w:tc>
          <w:tcPr>
            <w:tcW w:w="1300" w:type="dxa"/>
            <w:tcBorders>
              <w:top w:val="nil"/>
              <w:left w:val="nil"/>
              <w:bottom w:val="single" w:sz="4" w:space="0" w:color="auto"/>
              <w:right w:val="single" w:sz="4" w:space="0" w:color="auto"/>
            </w:tcBorders>
            <w:shd w:val="clear" w:color="auto" w:fill="auto"/>
            <w:noWrap/>
            <w:vAlign w:val="bottom"/>
            <w:hideMark/>
          </w:tcPr>
          <w:p w14:paraId="058B66E7"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260 172</w:t>
            </w:r>
          </w:p>
        </w:tc>
        <w:tc>
          <w:tcPr>
            <w:tcW w:w="1240" w:type="dxa"/>
            <w:tcBorders>
              <w:top w:val="nil"/>
              <w:left w:val="nil"/>
              <w:bottom w:val="single" w:sz="4" w:space="0" w:color="auto"/>
              <w:right w:val="single" w:sz="4" w:space="0" w:color="auto"/>
            </w:tcBorders>
            <w:shd w:val="clear" w:color="auto" w:fill="auto"/>
            <w:noWrap/>
            <w:vAlign w:val="bottom"/>
            <w:hideMark/>
          </w:tcPr>
          <w:p w14:paraId="4FF74FA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250 634</w:t>
            </w:r>
          </w:p>
        </w:tc>
        <w:tc>
          <w:tcPr>
            <w:tcW w:w="1160" w:type="dxa"/>
            <w:tcBorders>
              <w:top w:val="nil"/>
              <w:left w:val="nil"/>
              <w:bottom w:val="single" w:sz="4" w:space="0" w:color="auto"/>
              <w:right w:val="single" w:sz="4" w:space="0" w:color="auto"/>
            </w:tcBorders>
            <w:shd w:val="clear" w:color="auto" w:fill="auto"/>
            <w:noWrap/>
            <w:vAlign w:val="bottom"/>
            <w:hideMark/>
          </w:tcPr>
          <w:p w14:paraId="5DB7D285"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0.25</w:t>
            </w:r>
          </w:p>
        </w:tc>
        <w:tc>
          <w:tcPr>
            <w:tcW w:w="1180" w:type="dxa"/>
            <w:tcBorders>
              <w:top w:val="nil"/>
              <w:left w:val="nil"/>
              <w:bottom w:val="single" w:sz="4" w:space="0" w:color="auto"/>
              <w:right w:val="single" w:sz="4" w:space="0" w:color="auto"/>
            </w:tcBorders>
            <w:shd w:val="clear" w:color="auto" w:fill="auto"/>
            <w:noWrap/>
            <w:vAlign w:val="bottom"/>
            <w:hideMark/>
          </w:tcPr>
          <w:p w14:paraId="70142722"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-9 538</w:t>
            </w:r>
          </w:p>
        </w:tc>
        <w:tc>
          <w:tcPr>
            <w:tcW w:w="1100" w:type="dxa"/>
            <w:tcBorders>
              <w:top w:val="nil"/>
              <w:left w:val="nil"/>
              <w:bottom w:val="single" w:sz="4" w:space="0" w:color="auto"/>
              <w:right w:val="single" w:sz="4" w:space="0" w:color="auto"/>
            </w:tcBorders>
            <w:shd w:val="clear" w:color="auto" w:fill="auto"/>
            <w:noWrap/>
            <w:vAlign w:val="bottom"/>
            <w:hideMark/>
          </w:tcPr>
          <w:p w14:paraId="502E35FE"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96</w:t>
            </w:r>
          </w:p>
        </w:tc>
      </w:tr>
      <w:tr w:rsidR="00C7337E" w:rsidRPr="00737ABA" w14:paraId="6EF1F12A"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27364EE6" w14:textId="77777777" w:rsidR="00C7337E" w:rsidRPr="00737ABA" w:rsidRDefault="00C7337E" w:rsidP="00E55C62">
            <w:pPr>
              <w:rPr>
                <w:rFonts w:ascii="Arial Narrow" w:hAnsi="Arial Narrow" w:cs="Arial"/>
                <w:sz w:val="20"/>
                <w:szCs w:val="20"/>
              </w:rPr>
            </w:pPr>
            <w:proofErr w:type="spellStart"/>
            <w:r w:rsidRPr="00737ABA">
              <w:rPr>
                <w:rFonts w:ascii="Arial Narrow" w:hAnsi="Arial Narrow" w:cs="Arial"/>
                <w:sz w:val="20"/>
                <w:szCs w:val="20"/>
              </w:rPr>
              <w:t>Transferti</w:t>
            </w:r>
            <w:proofErr w:type="spellEnd"/>
          </w:p>
        </w:tc>
        <w:tc>
          <w:tcPr>
            <w:tcW w:w="1300" w:type="dxa"/>
            <w:tcBorders>
              <w:top w:val="nil"/>
              <w:left w:val="nil"/>
              <w:bottom w:val="nil"/>
              <w:right w:val="single" w:sz="4" w:space="0" w:color="auto"/>
            </w:tcBorders>
            <w:shd w:val="clear" w:color="auto" w:fill="auto"/>
            <w:noWrap/>
            <w:vAlign w:val="bottom"/>
            <w:hideMark/>
          </w:tcPr>
          <w:p w14:paraId="697D9C74"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45 757 613</w:t>
            </w:r>
          </w:p>
        </w:tc>
        <w:tc>
          <w:tcPr>
            <w:tcW w:w="1240" w:type="dxa"/>
            <w:tcBorders>
              <w:top w:val="nil"/>
              <w:left w:val="nil"/>
              <w:bottom w:val="nil"/>
              <w:right w:val="single" w:sz="4" w:space="0" w:color="auto"/>
            </w:tcBorders>
            <w:shd w:val="clear" w:color="auto" w:fill="auto"/>
            <w:noWrap/>
            <w:vAlign w:val="bottom"/>
            <w:hideMark/>
          </w:tcPr>
          <w:p w14:paraId="12E7F23F"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44 219 768</w:t>
            </w:r>
          </w:p>
        </w:tc>
        <w:tc>
          <w:tcPr>
            <w:tcW w:w="1160" w:type="dxa"/>
            <w:tcBorders>
              <w:top w:val="nil"/>
              <w:left w:val="nil"/>
              <w:bottom w:val="nil"/>
              <w:right w:val="single" w:sz="4" w:space="0" w:color="auto"/>
            </w:tcBorders>
            <w:shd w:val="clear" w:color="auto" w:fill="auto"/>
            <w:noWrap/>
            <w:vAlign w:val="bottom"/>
            <w:hideMark/>
          </w:tcPr>
          <w:p w14:paraId="67452823"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44.90</w:t>
            </w:r>
          </w:p>
        </w:tc>
        <w:tc>
          <w:tcPr>
            <w:tcW w:w="1180" w:type="dxa"/>
            <w:tcBorders>
              <w:top w:val="nil"/>
              <w:left w:val="nil"/>
              <w:bottom w:val="single" w:sz="4" w:space="0" w:color="auto"/>
              <w:right w:val="single" w:sz="4" w:space="0" w:color="auto"/>
            </w:tcBorders>
            <w:shd w:val="clear" w:color="auto" w:fill="auto"/>
            <w:noWrap/>
            <w:vAlign w:val="bottom"/>
            <w:hideMark/>
          </w:tcPr>
          <w:p w14:paraId="6321AAF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-1 537 845</w:t>
            </w:r>
          </w:p>
        </w:tc>
        <w:tc>
          <w:tcPr>
            <w:tcW w:w="1100" w:type="dxa"/>
            <w:tcBorders>
              <w:top w:val="nil"/>
              <w:left w:val="nil"/>
              <w:bottom w:val="single" w:sz="4" w:space="0" w:color="auto"/>
              <w:right w:val="single" w:sz="4" w:space="0" w:color="auto"/>
            </w:tcBorders>
            <w:shd w:val="clear" w:color="auto" w:fill="auto"/>
            <w:noWrap/>
            <w:vAlign w:val="bottom"/>
            <w:hideMark/>
          </w:tcPr>
          <w:p w14:paraId="1DA8C749"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97</w:t>
            </w:r>
          </w:p>
        </w:tc>
      </w:tr>
      <w:tr w:rsidR="00C7337E" w:rsidRPr="00737ABA" w14:paraId="3C365E81" w14:textId="77777777" w:rsidTr="00E55C6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2BDDA8F"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 KOPĀ:</w:t>
            </w:r>
          </w:p>
        </w:tc>
        <w:tc>
          <w:tcPr>
            <w:tcW w:w="1300" w:type="dxa"/>
            <w:tcBorders>
              <w:top w:val="single" w:sz="4" w:space="0" w:color="auto"/>
              <w:left w:val="nil"/>
              <w:bottom w:val="single" w:sz="4" w:space="0" w:color="auto"/>
              <w:right w:val="single" w:sz="4" w:space="0" w:color="auto"/>
            </w:tcBorders>
            <w:shd w:val="clear" w:color="000000" w:fill="FFCC99"/>
            <w:noWrap/>
            <w:vAlign w:val="bottom"/>
            <w:hideMark/>
          </w:tcPr>
          <w:p w14:paraId="587674FE"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99 129 771</w:t>
            </w:r>
          </w:p>
        </w:tc>
        <w:tc>
          <w:tcPr>
            <w:tcW w:w="1240" w:type="dxa"/>
            <w:tcBorders>
              <w:top w:val="single" w:sz="4" w:space="0" w:color="auto"/>
              <w:left w:val="nil"/>
              <w:bottom w:val="single" w:sz="4" w:space="0" w:color="auto"/>
              <w:right w:val="single" w:sz="4" w:space="0" w:color="auto"/>
            </w:tcBorders>
            <w:shd w:val="clear" w:color="000000" w:fill="FFCC99"/>
            <w:noWrap/>
            <w:vAlign w:val="bottom"/>
            <w:hideMark/>
          </w:tcPr>
          <w:p w14:paraId="53731455"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98 498 179</w:t>
            </w:r>
          </w:p>
        </w:tc>
        <w:tc>
          <w:tcPr>
            <w:tcW w:w="1160" w:type="dxa"/>
            <w:tcBorders>
              <w:top w:val="single" w:sz="4" w:space="0" w:color="auto"/>
              <w:left w:val="nil"/>
              <w:bottom w:val="single" w:sz="4" w:space="0" w:color="auto"/>
              <w:right w:val="single" w:sz="4" w:space="0" w:color="auto"/>
            </w:tcBorders>
            <w:shd w:val="clear" w:color="000000" w:fill="FFCC99"/>
            <w:noWrap/>
            <w:vAlign w:val="bottom"/>
            <w:hideMark/>
          </w:tcPr>
          <w:p w14:paraId="00DFD57A"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100.0</w:t>
            </w:r>
          </w:p>
        </w:tc>
        <w:tc>
          <w:tcPr>
            <w:tcW w:w="1180" w:type="dxa"/>
            <w:tcBorders>
              <w:top w:val="single" w:sz="4" w:space="0" w:color="auto"/>
              <w:left w:val="nil"/>
              <w:bottom w:val="single" w:sz="4" w:space="0" w:color="auto"/>
              <w:right w:val="single" w:sz="4" w:space="0" w:color="auto"/>
            </w:tcBorders>
            <w:shd w:val="clear" w:color="000000" w:fill="FFCC99"/>
            <w:noWrap/>
            <w:vAlign w:val="bottom"/>
            <w:hideMark/>
          </w:tcPr>
          <w:p w14:paraId="260D5F92"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-631 592</w:t>
            </w:r>
          </w:p>
        </w:tc>
        <w:tc>
          <w:tcPr>
            <w:tcW w:w="1100" w:type="dxa"/>
            <w:tcBorders>
              <w:top w:val="single" w:sz="4" w:space="0" w:color="auto"/>
              <w:left w:val="nil"/>
              <w:bottom w:val="single" w:sz="4" w:space="0" w:color="auto"/>
              <w:right w:val="single" w:sz="4" w:space="0" w:color="auto"/>
            </w:tcBorders>
            <w:shd w:val="clear" w:color="000000" w:fill="FFCC99"/>
            <w:noWrap/>
            <w:vAlign w:val="bottom"/>
            <w:hideMark/>
          </w:tcPr>
          <w:p w14:paraId="6A182AFF"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99.36</w:t>
            </w:r>
          </w:p>
        </w:tc>
      </w:tr>
    </w:tbl>
    <w:p w14:paraId="0CD43F34" w14:textId="77777777" w:rsidR="00C7337E" w:rsidRPr="00737ABA" w:rsidRDefault="00C7337E" w:rsidP="00C7337E">
      <w:pPr>
        <w:jc w:val="both"/>
        <w:rPr>
          <w:rFonts w:ascii="Arial Narrow" w:hAnsi="Arial Narrow" w:cs="Arial"/>
        </w:rPr>
      </w:pPr>
    </w:p>
    <w:p w14:paraId="4589542E" w14:textId="77777777" w:rsidR="00C7337E" w:rsidRPr="00737ABA" w:rsidRDefault="00C7337E" w:rsidP="00C7337E">
      <w:pPr>
        <w:ind w:firstLine="720"/>
        <w:rPr>
          <w:rFonts w:ascii="Arial Narrow" w:hAnsi="Arial Narrow" w:cs="Arial"/>
          <w:b/>
        </w:rPr>
      </w:pPr>
    </w:p>
    <w:p w14:paraId="406F3B95" w14:textId="77777777" w:rsidR="00C7337E" w:rsidRPr="00737ABA" w:rsidRDefault="00C7337E" w:rsidP="00C7337E">
      <w:pPr>
        <w:ind w:firstLine="720"/>
        <w:rPr>
          <w:rFonts w:ascii="Arial Narrow" w:hAnsi="Arial Narrow" w:cs="Arial"/>
          <w:b/>
        </w:rPr>
      </w:pPr>
      <w:r w:rsidRPr="00737ABA">
        <w:rPr>
          <w:rFonts w:ascii="Arial Narrow" w:hAnsi="Arial Narrow" w:cs="Arial"/>
          <w:b/>
        </w:rPr>
        <w:t>Pašvaldības pamatbudžeta ieņēmumu struktūra 2022. gadā (</w:t>
      </w:r>
      <w:r w:rsidRPr="00737ABA">
        <w:rPr>
          <w:rFonts w:ascii="Arial Narrow" w:hAnsi="Arial Narrow" w:cs="Arial"/>
          <w:b/>
          <w:i/>
          <w:iCs/>
        </w:rPr>
        <w:t>euro</w:t>
      </w:r>
      <w:r w:rsidRPr="00737ABA">
        <w:rPr>
          <w:rFonts w:ascii="Arial Narrow" w:hAnsi="Arial Narrow" w:cs="Arial"/>
          <w:b/>
        </w:rPr>
        <w:t xml:space="preserve"> un %)</w:t>
      </w:r>
    </w:p>
    <w:p w14:paraId="064D98ED" w14:textId="77777777" w:rsidR="00C7337E" w:rsidRPr="00737ABA" w:rsidRDefault="00C7337E" w:rsidP="00C7337E">
      <w:pPr>
        <w:rPr>
          <w:rFonts w:ascii="Arial Narrow" w:hAnsi="Arial Narrow" w:cs="Arial"/>
        </w:rPr>
      </w:pPr>
      <w:r w:rsidRPr="00737ABA">
        <w:rPr>
          <w:rFonts w:ascii="Arial Narrow" w:hAnsi="Arial Narrow" w:cs="Arial"/>
          <w:noProof/>
        </w:rPr>
        <w:drawing>
          <wp:inline distT="0" distB="0" distL="0" distR="0" wp14:anchorId="6CC7C75A" wp14:editId="4737A8CD">
            <wp:extent cx="6143625" cy="3662364"/>
            <wp:effectExtent l="0" t="0" r="9525" b="14605"/>
            <wp:docPr id="5" name="Chart 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F06EBF" w14:textId="77777777" w:rsidR="00C7337E" w:rsidRPr="00737ABA" w:rsidRDefault="00C7337E" w:rsidP="00C7337E">
      <w:pPr>
        <w:ind w:firstLine="720"/>
        <w:jc w:val="both"/>
        <w:rPr>
          <w:rFonts w:ascii="Arial Narrow" w:hAnsi="Arial Narrow" w:cs="Arial"/>
          <w:sz w:val="20"/>
          <w:szCs w:val="20"/>
        </w:rPr>
      </w:pPr>
      <w:r w:rsidRPr="00737ABA">
        <w:rPr>
          <w:rFonts w:ascii="Arial Narrow" w:hAnsi="Arial Narrow" w:cs="Arial"/>
          <w:i/>
          <w:sz w:val="20"/>
          <w:szCs w:val="20"/>
        </w:rPr>
        <w:t>Attēls Nr. 1.1.1.</w:t>
      </w:r>
      <w:r w:rsidRPr="00737ABA">
        <w:rPr>
          <w:rFonts w:ascii="Arial Narrow" w:hAnsi="Arial Narrow" w:cs="Arial"/>
          <w:sz w:val="20"/>
          <w:szCs w:val="20"/>
        </w:rPr>
        <w:t xml:space="preserve"> Pašvaldības ieņēmumu struktūra 2022. gada janvārī – decembrī</w:t>
      </w:r>
    </w:p>
    <w:p w14:paraId="47D58D7F" w14:textId="77777777" w:rsidR="00C7337E" w:rsidRPr="00737ABA" w:rsidRDefault="00C7337E" w:rsidP="00C7337E">
      <w:pPr>
        <w:jc w:val="both"/>
        <w:rPr>
          <w:rFonts w:ascii="Arial Narrow" w:hAnsi="Arial Narrow" w:cs="Arial"/>
          <w:b/>
        </w:rPr>
      </w:pPr>
    </w:p>
    <w:p w14:paraId="66A2217E" w14:textId="77777777" w:rsidR="00C7337E" w:rsidRPr="00737ABA" w:rsidRDefault="00C7337E" w:rsidP="00C7337E">
      <w:pPr>
        <w:ind w:firstLine="720"/>
        <w:jc w:val="both"/>
        <w:rPr>
          <w:rFonts w:ascii="Arial Narrow" w:hAnsi="Arial Narrow" w:cs="Arial"/>
          <w:b/>
        </w:rPr>
      </w:pPr>
    </w:p>
    <w:p w14:paraId="74EBCF3D" w14:textId="77777777" w:rsidR="00C7337E" w:rsidRPr="00737ABA" w:rsidRDefault="00C7337E" w:rsidP="00C7337E">
      <w:pPr>
        <w:ind w:firstLine="720"/>
        <w:jc w:val="both"/>
        <w:rPr>
          <w:rFonts w:ascii="Arial Narrow" w:hAnsi="Arial Narrow" w:cs="Arial"/>
          <w:b/>
        </w:rPr>
      </w:pPr>
      <w:r w:rsidRPr="00737ABA">
        <w:rPr>
          <w:rFonts w:ascii="Arial Narrow" w:hAnsi="Arial Narrow" w:cs="Arial"/>
          <w:b/>
        </w:rPr>
        <w:t>Nodokļu ieņēmumi</w:t>
      </w:r>
    </w:p>
    <w:p w14:paraId="157A49A7" w14:textId="77777777" w:rsidR="00C7337E" w:rsidRPr="00737ABA" w:rsidRDefault="00C7337E" w:rsidP="00C7337E">
      <w:pPr>
        <w:ind w:firstLine="720"/>
        <w:jc w:val="both"/>
        <w:rPr>
          <w:rFonts w:ascii="Arial Narrow" w:hAnsi="Arial Narrow" w:cs="Arial"/>
          <w:b/>
        </w:rPr>
      </w:pPr>
    </w:p>
    <w:p w14:paraId="0F685420" w14:textId="77777777" w:rsidR="00C7337E" w:rsidRPr="00737ABA" w:rsidRDefault="00C7337E" w:rsidP="00C7337E">
      <w:pPr>
        <w:ind w:firstLine="301"/>
        <w:jc w:val="both"/>
        <w:rPr>
          <w:rFonts w:ascii="Arial Narrow" w:hAnsi="Arial Narrow" w:cs="Arial"/>
          <w:sz w:val="22"/>
          <w:szCs w:val="22"/>
        </w:rPr>
      </w:pPr>
      <w:r w:rsidRPr="00737ABA">
        <w:rPr>
          <w:rFonts w:ascii="Arial Narrow" w:hAnsi="Arial Narrow" w:cs="Arial"/>
          <w:sz w:val="22"/>
          <w:szCs w:val="22"/>
        </w:rPr>
        <w:t xml:space="preserve">Nodokļu ieņēmumi 2022. gadā Pašvaldības pamatbudžetā bija otrs lielākais ieņēmumu avots, un tas sastādīja 43,76 % no visiem pamatbudžeta ieņēmumiem. </w:t>
      </w:r>
    </w:p>
    <w:p w14:paraId="30701BE7" w14:textId="77777777" w:rsidR="00C7337E" w:rsidRPr="00737ABA" w:rsidRDefault="00C7337E" w:rsidP="00C7337E">
      <w:pPr>
        <w:ind w:firstLine="301"/>
        <w:jc w:val="both"/>
        <w:rPr>
          <w:rFonts w:ascii="Arial Narrow" w:hAnsi="Arial Narrow" w:cs="Arial"/>
          <w:sz w:val="22"/>
          <w:szCs w:val="22"/>
        </w:rPr>
      </w:pPr>
      <w:r w:rsidRPr="00737ABA">
        <w:rPr>
          <w:rFonts w:ascii="Arial Narrow" w:hAnsi="Arial Narrow" w:cs="Arial"/>
          <w:i/>
          <w:sz w:val="22"/>
          <w:szCs w:val="22"/>
        </w:rPr>
        <w:t xml:space="preserve"> </w:t>
      </w:r>
      <w:r w:rsidRPr="00737ABA">
        <w:rPr>
          <w:rFonts w:ascii="Arial Narrow" w:hAnsi="Arial Narrow" w:cs="Arial"/>
          <w:sz w:val="22"/>
          <w:szCs w:val="22"/>
        </w:rPr>
        <w:t xml:space="preserve">Nodokļu ieņēmumi 2022. gadā pamatbudžetā ieskaitīti 46 miljonu </w:t>
      </w:r>
      <w:r w:rsidRPr="00737ABA">
        <w:rPr>
          <w:rFonts w:ascii="Arial Narrow" w:hAnsi="Arial Narrow" w:cs="Arial"/>
          <w:i/>
          <w:sz w:val="22"/>
          <w:szCs w:val="22"/>
        </w:rPr>
        <w:t xml:space="preserve">euro </w:t>
      </w:r>
      <w:r w:rsidRPr="00737ABA">
        <w:rPr>
          <w:rFonts w:ascii="Arial Narrow" w:hAnsi="Arial Narrow" w:cs="Arial"/>
          <w:sz w:val="22"/>
          <w:szCs w:val="22"/>
        </w:rPr>
        <w:t xml:space="preserve">apmērā, kas ir par 1,43 miljoniem </w:t>
      </w:r>
      <w:r w:rsidRPr="00737ABA">
        <w:rPr>
          <w:rFonts w:ascii="Arial Narrow" w:hAnsi="Arial Narrow" w:cs="Arial"/>
          <w:i/>
          <w:sz w:val="22"/>
          <w:szCs w:val="22"/>
        </w:rPr>
        <w:t>euro</w:t>
      </w:r>
      <w:r w:rsidRPr="00737ABA">
        <w:rPr>
          <w:rFonts w:ascii="Arial Narrow" w:hAnsi="Arial Narrow" w:cs="Arial"/>
          <w:sz w:val="22"/>
          <w:szCs w:val="22"/>
        </w:rPr>
        <w:t xml:space="preserve"> jeb par 3,1 procentu vairāk nekā plānots. </w:t>
      </w:r>
    </w:p>
    <w:p w14:paraId="57EB434F" w14:textId="77777777" w:rsidR="00C7337E" w:rsidRPr="00737ABA" w:rsidRDefault="00C7337E" w:rsidP="00C7337E">
      <w:pPr>
        <w:ind w:firstLine="720"/>
        <w:jc w:val="center"/>
        <w:rPr>
          <w:rFonts w:ascii="Arial Narrow" w:hAnsi="Arial Narrow" w:cs="Arial"/>
          <w:b/>
        </w:rPr>
      </w:pPr>
    </w:p>
    <w:p w14:paraId="77821818" w14:textId="77777777" w:rsidR="00C7337E" w:rsidRPr="00737ABA" w:rsidRDefault="00C7337E" w:rsidP="00C7337E">
      <w:pPr>
        <w:ind w:firstLine="720"/>
        <w:jc w:val="center"/>
        <w:rPr>
          <w:rFonts w:ascii="Arial Narrow" w:hAnsi="Arial Narrow" w:cs="Arial"/>
          <w:b/>
        </w:rPr>
      </w:pPr>
    </w:p>
    <w:p w14:paraId="54E34E39" w14:textId="77777777" w:rsidR="00C7337E" w:rsidRPr="00737ABA" w:rsidRDefault="00C7337E" w:rsidP="00C7337E">
      <w:pPr>
        <w:ind w:firstLine="720"/>
        <w:jc w:val="center"/>
        <w:rPr>
          <w:rFonts w:ascii="Arial Narrow" w:hAnsi="Arial Narrow" w:cs="Arial"/>
          <w:b/>
        </w:rPr>
      </w:pPr>
      <w:r w:rsidRPr="00737ABA">
        <w:rPr>
          <w:rFonts w:ascii="Arial Narrow" w:hAnsi="Arial Narrow" w:cs="Arial"/>
          <w:b/>
        </w:rPr>
        <w:br w:type="page"/>
      </w:r>
      <w:r w:rsidRPr="00737ABA">
        <w:rPr>
          <w:rFonts w:ascii="Arial Narrow" w:hAnsi="Arial Narrow" w:cs="Arial"/>
          <w:b/>
        </w:rPr>
        <w:lastRenderedPageBreak/>
        <w:t>Pašvaldības nodokļu ieņēmumu struktūra 2022. gadā (%)</w:t>
      </w:r>
    </w:p>
    <w:p w14:paraId="2F3CC423" w14:textId="77777777" w:rsidR="00C7337E" w:rsidRPr="00737ABA" w:rsidRDefault="00C7337E" w:rsidP="00C7337E">
      <w:pPr>
        <w:ind w:firstLine="720"/>
        <w:jc w:val="both"/>
        <w:rPr>
          <w:rFonts w:ascii="Arial Narrow" w:hAnsi="Arial Narrow" w:cs="Arial"/>
        </w:rPr>
      </w:pPr>
      <w:r w:rsidRPr="00737ABA">
        <w:rPr>
          <w:rFonts w:ascii="Arial Narrow" w:hAnsi="Arial Narrow" w:cs="Arial"/>
          <w:noProof/>
        </w:rPr>
        <w:drawing>
          <wp:inline distT="0" distB="0" distL="0" distR="0" wp14:anchorId="3D53A9E6" wp14:editId="4DA9A5D6">
            <wp:extent cx="5934075" cy="3743326"/>
            <wp:effectExtent l="0" t="0" r="0" b="0"/>
            <wp:docPr id="6" name="Chart 6">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3D4DFA" w14:textId="77777777" w:rsidR="00C7337E" w:rsidRPr="00737ABA" w:rsidRDefault="00C7337E" w:rsidP="00C7337E">
      <w:pPr>
        <w:jc w:val="both"/>
        <w:rPr>
          <w:rFonts w:ascii="Arial Narrow" w:hAnsi="Arial Narrow" w:cs="Arial"/>
        </w:rPr>
      </w:pPr>
    </w:p>
    <w:p w14:paraId="4FE552CD" w14:textId="77777777" w:rsidR="00C7337E" w:rsidRPr="00737ABA" w:rsidRDefault="00C7337E" w:rsidP="00C7337E">
      <w:pPr>
        <w:ind w:firstLine="720"/>
        <w:jc w:val="both"/>
        <w:rPr>
          <w:rFonts w:ascii="Arial Narrow" w:hAnsi="Arial Narrow" w:cs="Arial"/>
          <w:sz w:val="20"/>
          <w:szCs w:val="20"/>
        </w:rPr>
      </w:pPr>
      <w:r w:rsidRPr="00737ABA">
        <w:rPr>
          <w:rFonts w:ascii="Arial Narrow" w:hAnsi="Arial Narrow" w:cs="Arial"/>
          <w:sz w:val="20"/>
          <w:szCs w:val="20"/>
        </w:rPr>
        <w:t>Attēls Nr. 1.1.2. Pašvaldības nodokļu ieņēmumu struktūra 2022. gadā (%)</w:t>
      </w:r>
    </w:p>
    <w:p w14:paraId="2BA65A4A" w14:textId="77777777" w:rsidR="00C7337E" w:rsidRPr="00737ABA" w:rsidRDefault="00C7337E" w:rsidP="00C7337E">
      <w:pPr>
        <w:ind w:firstLine="720"/>
        <w:jc w:val="both"/>
        <w:rPr>
          <w:rFonts w:ascii="Arial Narrow" w:hAnsi="Arial Narrow" w:cs="Arial"/>
          <w:sz w:val="20"/>
          <w:szCs w:val="20"/>
        </w:rPr>
      </w:pPr>
    </w:p>
    <w:p w14:paraId="27E29E3A"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 xml:space="preserve">Lielāko nodokļu ieņēmumu daļu veido </w:t>
      </w:r>
      <w:r w:rsidRPr="00737ABA">
        <w:rPr>
          <w:rFonts w:ascii="Arial Narrow" w:hAnsi="Arial Narrow" w:cs="Arial"/>
          <w:sz w:val="22"/>
          <w:szCs w:val="22"/>
          <w:u w:val="single"/>
        </w:rPr>
        <w:t>Iedzīvotāju ienākuma nodoklis</w:t>
      </w:r>
      <w:r w:rsidRPr="00737ABA">
        <w:rPr>
          <w:rFonts w:ascii="Arial Narrow" w:hAnsi="Arial Narrow" w:cs="Arial"/>
          <w:sz w:val="22"/>
          <w:szCs w:val="22"/>
        </w:rPr>
        <w:t xml:space="preserve"> (turpmāk – </w:t>
      </w:r>
      <w:proofErr w:type="spellStart"/>
      <w:r w:rsidRPr="00737ABA">
        <w:rPr>
          <w:rFonts w:ascii="Arial Narrow" w:hAnsi="Arial Narrow" w:cs="Arial"/>
          <w:sz w:val="22"/>
          <w:szCs w:val="22"/>
        </w:rPr>
        <w:t>IIN</w:t>
      </w:r>
      <w:proofErr w:type="spellEnd"/>
      <w:r w:rsidRPr="00737ABA">
        <w:rPr>
          <w:rFonts w:ascii="Arial Narrow" w:hAnsi="Arial Narrow" w:cs="Arial"/>
          <w:sz w:val="22"/>
          <w:szCs w:val="22"/>
        </w:rPr>
        <w:t>), kas sastāda 90,66 procentu no visiem nodokļu ieņēmumiem.</w:t>
      </w:r>
    </w:p>
    <w:p w14:paraId="3BDCECA4" w14:textId="77777777" w:rsidR="00C7337E" w:rsidRPr="00737ABA" w:rsidRDefault="00C7337E" w:rsidP="00C7337E">
      <w:pPr>
        <w:ind w:firstLine="720"/>
        <w:jc w:val="both"/>
        <w:rPr>
          <w:rFonts w:ascii="Arial Narrow" w:hAnsi="Arial Narrow" w:cs="Arial"/>
          <w:sz w:val="22"/>
          <w:szCs w:val="22"/>
        </w:rPr>
      </w:pPr>
      <w:proofErr w:type="spellStart"/>
      <w:r w:rsidRPr="00737ABA">
        <w:rPr>
          <w:rFonts w:ascii="Arial Narrow" w:hAnsi="Arial Narrow" w:cs="Arial"/>
          <w:sz w:val="22"/>
          <w:szCs w:val="22"/>
        </w:rPr>
        <w:t>IIN</w:t>
      </w:r>
      <w:proofErr w:type="spellEnd"/>
      <w:r w:rsidRPr="00737ABA">
        <w:rPr>
          <w:rFonts w:ascii="Arial Narrow" w:hAnsi="Arial Narrow" w:cs="Arial"/>
          <w:sz w:val="22"/>
          <w:szCs w:val="22"/>
        </w:rPr>
        <w:t xml:space="preserve"> ieņēmumi 2022. gadā sastāda 41,75 miljonus </w:t>
      </w:r>
      <w:r w:rsidRPr="00737ABA">
        <w:rPr>
          <w:rFonts w:ascii="Arial Narrow" w:hAnsi="Arial Narrow" w:cs="Arial"/>
          <w:i/>
          <w:sz w:val="22"/>
          <w:szCs w:val="22"/>
        </w:rPr>
        <w:t>euro</w:t>
      </w:r>
      <w:r w:rsidRPr="00737ABA">
        <w:rPr>
          <w:rFonts w:ascii="Arial Narrow" w:hAnsi="Arial Narrow" w:cs="Arial"/>
          <w:sz w:val="22"/>
          <w:szCs w:val="22"/>
        </w:rPr>
        <w:t xml:space="preserve">, kas ir par 1,32 miljoniem </w:t>
      </w:r>
      <w:r w:rsidRPr="00737ABA">
        <w:rPr>
          <w:rFonts w:ascii="Arial Narrow" w:hAnsi="Arial Narrow" w:cs="Arial"/>
          <w:i/>
          <w:sz w:val="22"/>
          <w:szCs w:val="22"/>
        </w:rPr>
        <w:t>euro</w:t>
      </w:r>
      <w:r w:rsidRPr="00737ABA">
        <w:rPr>
          <w:rFonts w:ascii="Arial Narrow" w:hAnsi="Arial Narrow" w:cs="Arial"/>
          <w:sz w:val="22"/>
          <w:szCs w:val="22"/>
        </w:rPr>
        <w:t xml:space="preserve"> vairāk nekā plānots. </w:t>
      </w:r>
      <w:proofErr w:type="spellStart"/>
      <w:r w:rsidRPr="00737ABA">
        <w:rPr>
          <w:rFonts w:ascii="Arial Narrow" w:hAnsi="Arial Narrow" w:cs="Arial"/>
          <w:sz w:val="22"/>
          <w:szCs w:val="22"/>
        </w:rPr>
        <w:t>IIN</w:t>
      </w:r>
      <w:proofErr w:type="spellEnd"/>
      <w:r w:rsidRPr="00737ABA">
        <w:rPr>
          <w:rFonts w:ascii="Arial Narrow" w:hAnsi="Arial Narrow" w:cs="Arial"/>
          <w:sz w:val="22"/>
          <w:szCs w:val="22"/>
        </w:rPr>
        <w:t xml:space="preserve"> ieņēmumus ietekmē Valmieras novadā deklarēto tautsaimniecībā nodarbināto skaits, darba samaksa, kā arī ar iedzīvotāju ienākuma nodokli neapliekamā minimuma apmērs, nodokļa atvieglojumi. </w:t>
      </w:r>
    </w:p>
    <w:p w14:paraId="256F13B1"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 xml:space="preserve">Saskaņā ar likumu „Par valsts budžetu 2022. gadam” iedzīvotāju ienākuma nodokļa procentuālais sadalījums starp pašvaldību un valsts pamatbudžetiem noteikts attiecīgi 80% un 20% apmērā tāpat kā iepriekšējā periodā un </w:t>
      </w:r>
      <w:proofErr w:type="spellStart"/>
      <w:r w:rsidRPr="00737ABA">
        <w:rPr>
          <w:rFonts w:ascii="Arial Narrow" w:hAnsi="Arial Narrow" w:cs="Arial"/>
          <w:sz w:val="22"/>
          <w:szCs w:val="22"/>
        </w:rPr>
        <w:t>IIN</w:t>
      </w:r>
      <w:proofErr w:type="spellEnd"/>
      <w:r w:rsidRPr="00737ABA">
        <w:rPr>
          <w:rFonts w:ascii="Arial Narrow" w:hAnsi="Arial Narrow" w:cs="Arial"/>
          <w:sz w:val="22"/>
          <w:szCs w:val="22"/>
        </w:rPr>
        <w:t xml:space="preserve"> prognozēto ieņēmumu procentuālais sadalījums pa ceturkšņiem tiek noteikts šādā apmērā: I ceturksnī - 22%, II ceturksnī - 24%, III ceturksnī - 26%, IV ceturksnī - 28%.</w:t>
      </w:r>
    </w:p>
    <w:p w14:paraId="3153250C"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u w:val="single"/>
        </w:rPr>
        <w:t>Likumā “Par nekustamā īpašuma nodokli”</w:t>
      </w:r>
      <w:r w:rsidRPr="00737ABA">
        <w:rPr>
          <w:rFonts w:ascii="Arial Narrow" w:hAnsi="Arial Narrow" w:cs="Arial"/>
          <w:sz w:val="22"/>
          <w:szCs w:val="22"/>
        </w:rPr>
        <w:t xml:space="preserve"> 2022. gadā noteiktās nodokļa likmes nemainās -  zemei, ēkām, inženierbūvēm – 1,5% apmērā un mājokļiem – 0,2%, 0,4% un 0,6% apmērā atkarībā no kadastrālās vērtības uz 2022. gada 1. janvāri. Par dzīvojamo platību, kuras īpašnieks ir komersants, piemērojama 1,5% likme no kadastrālās vērtības.</w:t>
      </w:r>
    </w:p>
    <w:p w14:paraId="5DC11C97" w14:textId="77777777" w:rsidR="00C7337E" w:rsidRPr="00737ABA" w:rsidRDefault="00C7337E" w:rsidP="00C7337E">
      <w:pPr>
        <w:ind w:firstLine="720"/>
        <w:jc w:val="both"/>
        <w:rPr>
          <w:rFonts w:ascii="Arial Narrow" w:hAnsi="Arial Narrow" w:cs="Arial"/>
          <w:sz w:val="22"/>
          <w:szCs w:val="22"/>
        </w:rPr>
      </w:pPr>
      <w:bookmarkStart w:id="0" w:name="_Hlk130477317"/>
      <w:r w:rsidRPr="00737ABA">
        <w:rPr>
          <w:rFonts w:ascii="Arial Narrow" w:hAnsi="Arial Narrow" w:cs="Arial"/>
          <w:sz w:val="22"/>
          <w:szCs w:val="22"/>
        </w:rPr>
        <w:t>Valmieras novadā 2022. gadā tika piemērotas likumā noteiktās nodokļa likmes:</w:t>
      </w:r>
    </w:p>
    <w:p w14:paraId="5472C7E3" w14:textId="77777777" w:rsidR="00C7337E" w:rsidRPr="00737ABA" w:rsidRDefault="00C7337E" w:rsidP="00C7337E">
      <w:pPr>
        <w:pStyle w:val="ListParagraph"/>
        <w:numPr>
          <w:ilvl w:val="0"/>
          <w:numId w:val="18"/>
        </w:numPr>
        <w:jc w:val="both"/>
        <w:rPr>
          <w:rFonts w:ascii="Arial Narrow" w:hAnsi="Arial Narrow" w:cs="Arial"/>
          <w:sz w:val="22"/>
          <w:szCs w:val="22"/>
        </w:rPr>
      </w:pPr>
      <w:r w:rsidRPr="00737ABA">
        <w:rPr>
          <w:rFonts w:ascii="Arial Narrow" w:hAnsi="Arial Narrow" w:cs="Arial"/>
          <w:sz w:val="22"/>
          <w:szCs w:val="22"/>
        </w:rPr>
        <w:t>par fizisku personu īpašumā esošo mājokli piemērota nodokļa likme 0,2% apmērā no kadastrālās vērtības;</w:t>
      </w:r>
    </w:p>
    <w:p w14:paraId="526B330B" w14:textId="77777777" w:rsidR="00C7337E" w:rsidRPr="00737ABA" w:rsidRDefault="00C7337E" w:rsidP="00C7337E">
      <w:pPr>
        <w:pStyle w:val="ListParagraph"/>
        <w:numPr>
          <w:ilvl w:val="0"/>
          <w:numId w:val="18"/>
        </w:numPr>
        <w:jc w:val="both"/>
        <w:rPr>
          <w:rFonts w:ascii="Arial Narrow" w:hAnsi="Arial Narrow" w:cs="Arial"/>
          <w:sz w:val="22"/>
          <w:szCs w:val="22"/>
        </w:rPr>
      </w:pPr>
      <w:r w:rsidRPr="00737ABA">
        <w:rPr>
          <w:rFonts w:ascii="Arial Narrow" w:hAnsi="Arial Narrow" w:cs="Arial"/>
          <w:sz w:val="22"/>
          <w:szCs w:val="22"/>
        </w:rPr>
        <w:t>par juridisku personu īpašumā esošo mājokli piemērota nodokļa likme 1,5% apmērā no kadastrālās vērtības, izņemot likumā noteikto – ja īres līgums ir reģistrēts Zemesgrāmatā, piemērota nodokļa likme 0,2% apmērā no kadastrālās vērtības;</w:t>
      </w:r>
    </w:p>
    <w:p w14:paraId="75921631" w14:textId="77777777" w:rsidR="00C7337E" w:rsidRPr="00737ABA" w:rsidRDefault="00C7337E" w:rsidP="00C7337E">
      <w:pPr>
        <w:pStyle w:val="ListParagraph"/>
        <w:numPr>
          <w:ilvl w:val="0"/>
          <w:numId w:val="18"/>
        </w:numPr>
        <w:jc w:val="both"/>
        <w:rPr>
          <w:rFonts w:ascii="Arial Narrow" w:hAnsi="Arial Narrow" w:cs="Arial"/>
          <w:sz w:val="22"/>
          <w:szCs w:val="22"/>
        </w:rPr>
      </w:pPr>
      <w:r w:rsidRPr="00737ABA">
        <w:rPr>
          <w:rFonts w:ascii="Arial Narrow" w:hAnsi="Arial Narrow" w:cs="Arial"/>
          <w:sz w:val="22"/>
          <w:szCs w:val="22"/>
        </w:rPr>
        <w:t>par zemi - nodokļa likme 1,5% apmērā no kadastrālās vērtības.</w:t>
      </w:r>
    </w:p>
    <w:p w14:paraId="006A56E8"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 xml:space="preserve">Lai veicinātu teritorijas sakārtošanu, Valmieras novadā tika turpināts piemērot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likmes 3% apmērā no augstākās (ēkas vai zemes) kadastrālās vērtības par vidi degradējošām, sagruvušām vai cilvēku drošību apdraudošām būvēm. 2022. gadā paaugstinātu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likmi Valmieras novadā piemēroja 55 objektiem: Valmieras pilsētas teritorijā – 43 objektiem, Burtnieku apvienības teritorijā – 7 objektiem, bet Kocēnu apvienības teritorijā – 5 objektiem. </w:t>
      </w:r>
    </w:p>
    <w:p w14:paraId="0A94B490"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 xml:space="preserve">Valmieras novadā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maksātāji kopā bija 25 997 fiziskās un 1 162 juridiskās personas.</w:t>
      </w:r>
    </w:p>
    <w:p w14:paraId="05DFA739"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 xml:space="preserve">Saskaņā ar Pašvaldības saistošo noteikumu nosacījumiem, 2022. gadā Valmieras novadā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atvieglojumus piemēroja:</w:t>
      </w:r>
    </w:p>
    <w:p w14:paraId="701EE971" w14:textId="77777777" w:rsidR="00C7337E" w:rsidRPr="00737ABA" w:rsidRDefault="00C7337E" w:rsidP="00C7337E">
      <w:pPr>
        <w:pStyle w:val="ListParagraph"/>
        <w:numPr>
          <w:ilvl w:val="0"/>
          <w:numId w:val="19"/>
        </w:numPr>
        <w:jc w:val="both"/>
        <w:rPr>
          <w:rFonts w:ascii="Arial Narrow" w:hAnsi="Arial Narrow" w:cs="Arial"/>
          <w:sz w:val="22"/>
          <w:szCs w:val="22"/>
        </w:rPr>
      </w:pPr>
      <w:r w:rsidRPr="00737ABA">
        <w:rPr>
          <w:rFonts w:ascii="Arial Narrow" w:hAnsi="Arial Narrow" w:cs="Arial"/>
          <w:sz w:val="22"/>
          <w:szCs w:val="22"/>
        </w:rPr>
        <w:t>fiziskām personām: personām ar I un II grupas invaliditāti, ģimenēm, kuru aprūpē ir bērns ar invaliditāti, vientuļajiem pensionāriem, pensionāriem, kuri vecāki par 70 gadiem, Černobiļas AES avārijas seku likvidācijas dalībniekiem;</w:t>
      </w:r>
    </w:p>
    <w:p w14:paraId="6CEE914A" w14:textId="77777777" w:rsidR="00C7337E" w:rsidRPr="00737ABA" w:rsidRDefault="00C7337E" w:rsidP="00C7337E">
      <w:pPr>
        <w:pStyle w:val="ListParagraph"/>
        <w:numPr>
          <w:ilvl w:val="0"/>
          <w:numId w:val="19"/>
        </w:numPr>
        <w:jc w:val="both"/>
        <w:rPr>
          <w:rFonts w:ascii="Arial Narrow" w:hAnsi="Arial Narrow" w:cs="Arial"/>
          <w:sz w:val="22"/>
          <w:szCs w:val="22"/>
        </w:rPr>
      </w:pPr>
      <w:r w:rsidRPr="00737ABA">
        <w:rPr>
          <w:rFonts w:ascii="Arial Narrow" w:hAnsi="Arial Narrow" w:cs="Arial"/>
          <w:sz w:val="22"/>
          <w:szCs w:val="22"/>
        </w:rPr>
        <w:lastRenderedPageBreak/>
        <w:t xml:space="preserve">saimnieciskās darbības veicējiem: par vasaras kafejnīcām, rūpnieciskās ražošanas ēkām, viesnīcām, telpu grupām, kurās tiek veikta regulāra filmu publiska demonstrēšana, nodokļa maksātājiem, kas savu saimniecisko darbību veic Pašvaldības izglītības iestāžu telpās, veicot izglītojamo komplekso ēdināšanu, kā arī pansionāta telpās, veicot pansionāta iemītnieku komplekso ēdināšanu, uzņēmumiem par jaunuzceltām ēkām vai būves pārbūvi, Pašvaldības kapitālsabiedrībām par īpašumā dzīvojamiem objektiem un nodokļa maksātājam par Pašvaldībai piederošu nekustamo īpašumu, kas tiek izmantots atbilstoši </w:t>
      </w:r>
      <w:proofErr w:type="spellStart"/>
      <w:r w:rsidRPr="00737ABA">
        <w:rPr>
          <w:rFonts w:ascii="Arial Narrow" w:hAnsi="Arial Narrow" w:cs="Arial"/>
          <w:sz w:val="22"/>
          <w:szCs w:val="22"/>
        </w:rPr>
        <w:t>ERAF</w:t>
      </w:r>
      <w:proofErr w:type="spellEnd"/>
      <w:r w:rsidRPr="00737ABA">
        <w:rPr>
          <w:rFonts w:ascii="Arial Narrow" w:hAnsi="Arial Narrow" w:cs="Arial"/>
          <w:sz w:val="22"/>
          <w:szCs w:val="22"/>
        </w:rPr>
        <w:t xml:space="preserve"> Specifiskā atbalsta mērķa 5.6.2. "Teritoriju </w:t>
      </w:r>
      <w:proofErr w:type="spellStart"/>
      <w:r w:rsidRPr="00737ABA">
        <w:rPr>
          <w:rFonts w:ascii="Arial Narrow" w:hAnsi="Arial Narrow" w:cs="Arial"/>
          <w:sz w:val="22"/>
          <w:szCs w:val="22"/>
        </w:rPr>
        <w:t>revitalizācija</w:t>
      </w:r>
      <w:proofErr w:type="spellEnd"/>
      <w:r w:rsidRPr="00737ABA">
        <w:rPr>
          <w:rFonts w:ascii="Arial Narrow" w:hAnsi="Arial Narrow" w:cs="Arial"/>
          <w:sz w:val="22"/>
          <w:szCs w:val="22"/>
        </w:rPr>
        <w:t>, reģenerējot degradētās teritorijas atbilstoši pašvaldību integrētajām attīstības programmām" ietvaros īstenojamam projektam Nr. 5.6.2.0/19/I/015 "Industriālo teritoriju attīstība Valmierā- 1. kārta".</w:t>
      </w:r>
    </w:p>
    <w:p w14:paraId="1748C86F"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Valmieras novadā 2022. gadā tika piemēroti arī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atvieglojumi atsevišķām nodokļu maksātāju kategorijām saistībā ar Covid-19 ārkārtējo situāciju valstī. Atbalstāmās nozares bija ēdināšanas, viesnīcu, </w:t>
      </w:r>
      <w:proofErr w:type="spellStart"/>
      <w:r w:rsidRPr="00737ABA">
        <w:rPr>
          <w:rFonts w:ascii="Arial Narrow" w:hAnsi="Arial Narrow" w:cs="Arial"/>
          <w:sz w:val="22"/>
          <w:szCs w:val="22"/>
        </w:rPr>
        <w:t>skaistumkopšanas</w:t>
      </w:r>
      <w:proofErr w:type="spellEnd"/>
      <w:r w:rsidRPr="00737ABA">
        <w:rPr>
          <w:rFonts w:ascii="Arial Narrow" w:hAnsi="Arial Narrow" w:cs="Arial"/>
          <w:sz w:val="22"/>
          <w:szCs w:val="22"/>
        </w:rPr>
        <w:t xml:space="preserve"> pakalpojumu sniegšanas un pasažieru pārvadājumu nozares, kā arī tirdzniecības centra virs 10 000 m</w:t>
      </w:r>
      <w:r w:rsidRPr="00737ABA">
        <w:rPr>
          <w:rFonts w:ascii="Arial Narrow" w:hAnsi="Arial Narrow" w:cs="Arial"/>
          <w:sz w:val="22"/>
          <w:szCs w:val="22"/>
          <w:vertAlign w:val="superscript"/>
        </w:rPr>
        <w:t>2</w:t>
      </w:r>
      <w:r w:rsidRPr="00737ABA">
        <w:rPr>
          <w:rFonts w:ascii="Arial Narrow" w:hAnsi="Arial Narrow" w:cs="Arial"/>
          <w:sz w:val="22"/>
          <w:szCs w:val="22"/>
        </w:rPr>
        <w:t xml:space="preserve"> darbība.</w:t>
      </w:r>
    </w:p>
    <w:p w14:paraId="5E3E0A3D"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 xml:space="preserve">2022. gadā piemēroti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atvieglojumi, pamatojoties uz likumu “Par nekustamā īpašuma nodokli”:</w:t>
      </w:r>
    </w:p>
    <w:p w14:paraId="0D1B9DAE" w14:textId="77777777" w:rsidR="00C7337E" w:rsidRPr="00737ABA" w:rsidRDefault="00C7337E" w:rsidP="00737ABA">
      <w:pPr>
        <w:numPr>
          <w:ilvl w:val="0"/>
          <w:numId w:val="11"/>
        </w:numPr>
        <w:spacing w:line="259" w:lineRule="auto"/>
        <w:ind w:left="1491" w:hanging="357"/>
        <w:contextualSpacing/>
        <w:jc w:val="both"/>
        <w:rPr>
          <w:rFonts w:ascii="Arial Narrow" w:hAnsi="Arial Narrow" w:cs="Arial"/>
          <w:sz w:val="22"/>
          <w:szCs w:val="22"/>
        </w:rPr>
      </w:pPr>
      <w:r w:rsidRPr="00737ABA">
        <w:rPr>
          <w:rFonts w:ascii="Arial Narrow" w:hAnsi="Arial Narrow" w:cs="Arial"/>
          <w:sz w:val="22"/>
          <w:szCs w:val="22"/>
        </w:rPr>
        <w:t xml:space="preserve">politiski represētajām personām 50% apmērā – kopā 14,8 tūkstoši </w:t>
      </w:r>
      <w:r w:rsidRPr="00737ABA">
        <w:rPr>
          <w:rFonts w:ascii="Arial Narrow" w:hAnsi="Arial Narrow" w:cs="Arial"/>
          <w:i/>
          <w:sz w:val="22"/>
          <w:szCs w:val="22"/>
        </w:rPr>
        <w:t>euro</w:t>
      </w:r>
      <w:r w:rsidRPr="00737ABA">
        <w:rPr>
          <w:rFonts w:ascii="Arial Narrow" w:hAnsi="Arial Narrow" w:cs="Arial"/>
          <w:sz w:val="22"/>
          <w:szCs w:val="22"/>
        </w:rPr>
        <w:t>;</w:t>
      </w:r>
    </w:p>
    <w:p w14:paraId="777CD5AE" w14:textId="77777777" w:rsidR="00C7337E" w:rsidRPr="00737ABA" w:rsidRDefault="00C7337E" w:rsidP="00737ABA">
      <w:pPr>
        <w:numPr>
          <w:ilvl w:val="0"/>
          <w:numId w:val="11"/>
        </w:numPr>
        <w:spacing w:line="259" w:lineRule="auto"/>
        <w:ind w:left="1491" w:hanging="357"/>
        <w:contextualSpacing/>
        <w:jc w:val="both"/>
        <w:rPr>
          <w:rFonts w:ascii="Arial Narrow" w:hAnsi="Arial Narrow" w:cs="Arial"/>
          <w:bCs/>
          <w:sz w:val="22"/>
          <w:szCs w:val="22"/>
        </w:rPr>
      </w:pPr>
      <w:proofErr w:type="spellStart"/>
      <w:r w:rsidRPr="00737ABA">
        <w:rPr>
          <w:rFonts w:ascii="Arial Narrow" w:hAnsi="Arial Narrow" w:cs="Arial"/>
          <w:sz w:val="22"/>
          <w:szCs w:val="22"/>
        </w:rPr>
        <w:t>daudzbērnu</w:t>
      </w:r>
      <w:proofErr w:type="spellEnd"/>
      <w:r w:rsidRPr="00737ABA">
        <w:rPr>
          <w:rFonts w:ascii="Arial Narrow" w:hAnsi="Arial Narrow" w:cs="Arial"/>
          <w:sz w:val="22"/>
          <w:szCs w:val="22"/>
        </w:rPr>
        <w:t xml:space="preserve"> ģimenēm 50% apmērā – kopā </w:t>
      </w:r>
      <w:r w:rsidRPr="00737ABA">
        <w:rPr>
          <w:rFonts w:ascii="Arial Narrow" w:hAnsi="Arial Narrow" w:cs="Arial"/>
          <w:bCs/>
          <w:sz w:val="22"/>
          <w:szCs w:val="22"/>
        </w:rPr>
        <w:t xml:space="preserve">23,6 tūkstoši </w:t>
      </w:r>
      <w:r w:rsidRPr="00737ABA">
        <w:rPr>
          <w:rFonts w:ascii="Arial Narrow" w:hAnsi="Arial Narrow" w:cs="Arial"/>
          <w:bCs/>
          <w:i/>
          <w:sz w:val="22"/>
          <w:szCs w:val="22"/>
        </w:rPr>
        <w:t>euro</w:t>
      </w:r>
      <w:r w:rsidRPr="00737ABA">
        <w:rPr>
          <w:rFonts w:ascii="Arial Narrow" w:hAnsi="Arial Narrow" w:cs="Arial"/>
          <w:bCs/>
          <w:sz w:val="22"/>
          <w:szCs w:val="22"/>
        </w:rPr>
        <w:t>;</w:t>
      </w:r>
    </w:p>
    <w:p w14:paraId="0B1E5A44" w14:textId="77777777" w:rsidR="00C7337E" w:rsidRPr="00737ABA" w:rsidRDefault="00C7337E" w:rsidP="00737ABA">
      <w:pPr>
        <w:numPr>
          <w:ilvl w:val="0"/>
          <w:numId w:val="11"/>
        </w:numPr>
        <w:spacing w:line="259" w:lineRule="auto"/>
        <w:ind w:left="1491" w:hanging="357"/>
        <w:contextualSpacing/>
        <w:jc w:val="both"/>
        <w:rPr>
          <w:rFonts w:ascii="Arial Narrow" w:hAnsi="Arial Narrow" w:cs="Arial"/>
          <w:bCs/>
          <w:sz w:val="22"/>
          <w:szCs w:val="22"/>
        </w:rPr>
      </w:pPr>
      <w:r w:rsidRPr="00737ABA">
        <w:rPr>
          <w:rFonts w:ascii="Arial Narrow" w:hAnsi="Arial Narrow" w:cs="Arial"/>
          <w:bCs/>
          <w:sz w:val="22"/>
          <w:szCs w:val="22"/>
        </w:rPr>
        <w:t xml:space="preserve">personām, kurām piešķirts maznodrošinātas personas (ģimenes) statuss, 50 % apmērā (mājoklis, zeme) – kopā 200 </w:t>
      </w:r>
      <w:r w:rsidRPr="00737ABA">
        <w:rPr>
          <w:rFonts w:ascii="Arial Narrow" w:hAnsi="Arial Narrow" w:cs="Arial"/>
          <w:bCs/>
          <w:i/>
          <w:sz w:val="22"/>
          <w:szCs w:val="22"/>
        </w:rPr>
        <w:t>euro</w:t>
      </w:r>
      <w:r w:rsidRPr="00737ABA">
        <w:rPr>
          <w:rFonts w:ascii="Arial Narrow" w:hAnsi="Arial Narrow" w:cs="Arial"/>
          <w:bCs/>
          <w:sz w:val="22"/>
          <w:szCs w:val="22"/>
        </w:rPr>
        <w:t xml:space="preserve">. </w:t>
      </w:r>
    </w:p>
    <w:p w14:paraId="2679A577" w14:textId="77777777" w:rsidR="00C7337E" w:rsidRPr="00737ABA" w:rsidRDefault="00C7337E" w:rsidP="00737ABA">
      <w:pPr>
        <w:numPr>
          <w:ilvl w:val="0"/>
          <w:numId w:val="11"/>
        </w:numPr>
        <w:spacing w:line="259" w:lineRule="auto"/>
        <w:ind w:left="1491" w:hanging="357"/>
        <w:contextualSpacing/>
        <w:jc w:val="both"/>
        <w:rPr>
          <w:rFonts w:ascii="Arial Narrow" w:hAnsi="Arial Narrow" w:cs="Arial"/>
          <w:bCs/>
          <w:sz w:val="22"/>
          <w:szCs w:val="22"/>
        </w:rPr>
      </w:pPr>
      <w:r w:rsidRPr="00737ABA">
        <w:rPr>
          <w:rFonts w:ascii="Arial Narrow" w:hAnsi="Arial Narrow" w:cs="Arial"/>
          <w:bCs/>
          <w:sz w:val="22"/>
          <w:szCs w:val="22"/>
        </w:rPr>
        <w:t xml:space="preserve">personām, kurām piešķirts trūcīgās personas (ģimenes) statuss, 90 % apmērā (mājoklis, zeme) – kopā 5,6 tūkstoši </w:t>
      </w:r>
      <w:r w:rsidRPr="00737ABA">
        <w:rPr>
          <w:rFonts w:ascii="Arial Narrow" w:hAnsi="Arial Narrow" w:cs="Arial"/>
          <w:bCs/>
          <w:i/>
          <w:sz w:val="22"/>
          <w:szCs w:val="22"/>
        </w:rPr>
        <w:t>euro</w:t>
      </w:r>
      <w:r w:rsidRPr="00737ABA">
        <w:rPr>
          <w:rFonts w:ascii="Arial Narrow" w:hAnsi="Arial Narrow" w:cs="Arial"/>
          <w:bCs/>
          <w:sz w:val="22"/>
          <w:szCs w:val="22"/>
        </w:rPr>
        <w:t>.</w:t>
      </w:r>
    </w:p>
    <w:p w14:paraId="23CD9A01" w14:textId="77777777" w:rsidR="00C7337E" w:rsidRPr="00737ABA" w:rsidRDefault="00C7337E" w:rsidP="00C7337E">
      <w:pPr>
        <w:ind w:left="636" w:hanging="352"/>
        <w:jc w:val="both"/>
        <w:rPr>
          <w:rFonts w:ascii="Arial Narrow" w:hAnsi="Arial Narrow" w:cs="Arial"/>
          <w:sz w:val="22"/>
          <w:szCs w:val="22"/>
        </w:rPr>
      </w:pPr>
    </w:p>
    <w:p w14:paraId="2199CEB0"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 xml:space="preserve">2022. gadā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atvieglojumi saskaņā ar saistošajiem noteikumiem piemēroti 98,4 tūkstoši </w:t>
      </w:r>
      <w:r w:rsidRPr="00737ABA">
        <w:rPr>
          <w:rFonts w:ascii="Arial Narrow" w:hAnsi="Arial Narrow" w:cs="Arial"/>
          <w:i/>
          <w:sz w:val="22"/>
          <w:szCs w:val="22"/>
        </w:rPr>
        <w:t>euro</w:t>
      </w:r>
      <w:r w:rsidRPr="00737ABA">
        <w:rPr>
          <w:rFonts w:ascii="Arial Narrow" w:hAnsi="Arial Narrow" w:cs="Arial"/>
          <w:sz w:val="22"/>
          <w:szCs w:val="22"/>
        </w:rPr>
        <w:t xml:space="preserve"> apmērā, tajā skaitā:</w:t>
      </w:r>
    </w:p>
    <w:p w14:paraId="249B03DD" w14:textId="77777777" w:rsidR="00C7337E" w:rsidRPr="00737ABA" w:rsidRDefault="00C7337E" w:rsidP="00C7337E">
      <w:pPr>
        <w:numPr>
          <w:ilvl w:val="0"/>
          <w:numId w:val="12"/>
        </w:numPr>
        <w:spacing w:line="259" w:lineRule="auto"/>
        <w:ind w:left="1491" w:hanging="357"/>
        <w:contextualSpacing/>
        <w:jc w:val="both"/>
        <w:rPr>
          <w:rFonts w:ascii="Arial Narrow" w:hAnsi="Arial Narrow" w:cs="Arial"/>
          <w:sz w:val="22"/>
          <w:szCs w:val="22"/>
        </w:rPr>
      </w:pPr>
      <w:r w:rsidRPr="00737ABA">
        <w:rPr>
          <w:rFonts w:ascii="Arial Narrow" w:hAnsi="Arial Narrow" w:cs="Arial"/>
          <w:sz w:val="22"/>
          <w:szCs w:val="22"/>
        </w:rPr>
        <w:t xml:space="preserve">dažādu līmeņu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atvieglojumi fiziskām personām - 17,6 tūkstoši </w:t>
      </w:r>
      <w:r w:rsidRPr="00737ABA">
        <w:rPr>
          <w:rFonts w:ascii="Arial Narrow" w:hAnsi="Arial Narrow" w:cs="Arial"/>
          <w:i/>
          <w:sz w:val="22"/>
          <w:szCs w:val="22"/>
        </w:rPr>
        <w:t>euro</w:t>
      </w:r>
      <w:r w:rsidRPr="00737ABA">
        <w:rPr>
          <w:rFonts w:ascii="Arial Narrow" w:hAnsi="Arial Narrow" w:cs="Arial"/>
          <w:sz w:val="22"/>
          <w:szCs w:val="22"/>
        </w:rPr>
        <w:t>;</w:t>
      </w:r>
    </w:p>
    <w:p w14:paraId="69F00B86" w14:textId="77777777" w:rsidR="00C7337E" w:rsidRPr="00737ABA" w:rsidRDefault="00C7337E" w:rsidP="00C7337E">
      <w:pPr>
        <w:numPr>
          <w:ilvl w:val="0"/>
          <w:numId w:val="12"/>
        </w:numPr>
        <w:spacing w:line="259" w:lineRule="auto"/>
        <w:ind w:left="1491" w:hanging="357"/>
        <w:contextualSpacing/>
        <w:jc w:val="both"/>
        <w:rPr>
          <w:rFonts w:ascii="Arial Narrow" w:hAnsi="Arial Narrow" w:cs="Arial"/>
          <w:sz w:val="22"/>
          <w:szCs w:val="22"/>
        </w:rPr>
      </w:pPr>
      <w:r w:rsidRPr="00737ABA">
        <w:rPr>
          <w:rFonts w:ascii="Arial Narrow" w:hAnsi="Arial Narrow" w:cs="Arial"/>
          <w:sz w:val="22"/>
          <w:szCs w:val="22"/>
        </w:rPr>
        <w:t xml:space="preserve">dažādu līmeņu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atvieglojumi saimnieciskās darbības veicējiem - 55,8 tūkstoši </w:t>
      </w:r>
      <w:r w:rsidRPr="00737ABA">
        <w:rPr>
          <w:rFonts w:ascii="Arial Narrow" w:hAnsi="Arial Narrow" w:cs="Arial"/>
          <w:i/>
          <w:sz w:val="22"/>
          <w:szCs w:val="22"/>
        </w:rPr>
        <w:t>euro</w:t>
      </w:r>
      <w:r w:rsidRPr="00737ABA">
        <w:rPr>
          <w:rFonts w:ascii="Arial Narrow" w:hAnsi="Arial Narrow" w:cs="Arial"/>
          <w:sz w:val="22"/>
          <w:szCs w:val="22"/>
        </w:rPr>
        <w:t>;</w:t>
      </w:r>
    </w:p>
    <w:p w14:paraId="38F71681" w14:textId="77777777" w:rsidR="00C7337E" w:rsidRPr="00737ABA" w:rsidRDefault="00C7337E" w:rsidP="00C7337E">
      <w:pPr>
        <w:numPr>
          <w:ilvl w:val="0"/>
          <w:numId w:val="12"/>
        </w:numPr>
        <w:spacing w:line="259" w:lineRule="auto"/>
        <w:ind w:left="1491" w:hanging="357"/>
        <w:contextualSpacing/>
        <w:jc w:val="both"/>
        <w:rPr>
          <w:rFonts w:ascii="Arial Narrow" w:hAnsi="Arial Narrow" w:cs="Arial"/>
          <w:sz w:val="22"/>
          <w:szCs w:val="22"/>
        </w:rPr>
      </w:pPr>
      <w:r w:rsidRPr="00737ABA">
        <w:rPr>
          <w:rFonts w:ascii="Arial Narrow" w:hAnsi="Arial Narrow" w:cs="Arial"/>
          <w:sz w:val="22"/>
          <w:szCs w:val="22"/>
        </w:rPr>
        <w:t xml:space="preserve">dažādu līmeņu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atvieglojumi saimnieciskās darbības veicējiem saistībā ar Covid-19 - 25 tūkstoši </w:t>
      </w:r>
      <w:r w:rsidRPr="00737ABA">
        <w:rPr>
          <w:rFonts w:ascii="Arial Narrow" w:hAnsi="Arial Narrow" w:cs="Arial"/>
          <w:i/>
          <w:sz w:val="22"/>
          <w:szCs w:val="22"/>
        </w:rPr>
        <w:t>euro</w:t>
      </w:r>
      <w:r w:rsidRPr="00737ABA">
        <w:rPr>
          <w:rFonts w:ascii="Arial Narrow" w:hAnsi="Arial Narrow" w:cs="Arial"/>
          <w:sz w:val="22"/>
          <w:szCs w:val="22"/>
        </w:rPr>
        <w:t xml:space="preserve">. </w:t>
      </w:r>
    </w:p>
    <w:p w14:paraId="7A27323E" w14:textId="77777777" w:rsidR="00C7337E" w:rsidRPr="00737ABA" w:rsidRDefault="00C7337E" w:rsidP="00C7337E">
      <w:pPr>
        <w:spacing w:after="120"/>
        <w:ind w:firstLine="720"/>
        <w:jc w:val="both"/>
        <w:rPr>
          <w:rFonts w:ascii="Arial Narrow" w:hAnsi="Arial Narrow" w:cs="Arial"/>
          <w:sz w:val="22"/>
          <w:szCs w:val="22"/>
        </w:rPr>
      </w:pPr>
      <w:r w:rsidRPr="00737ABA">
        <w:rPr>
          <w:rFonts w:ascii="Arial Narrow" w:hAnsi="Arial Narrow" w:cs="Arial"/>
          <w:sz w:val="22"/>
          <w:szCs w:val="22"/>
          <w:u w:val="single"/>
        </w:rPr>
        <w:t>Azartspēļu nodokļa</w:t>
      </w:r>
      <w:r w:rsidRPr="00737ABA">
        <w:rPr>
          <w:rFonts w:ascii="Arial Narrow" w:hAnsi="Arial Narrow" w:cs="Arial"/>
          <w:sz w:val="22"/>
          <w:szCs w:val="22"/>
        </w:rPr>
        <w:t xml:space="preserve"> ieņēmumi 2022. gadā bija 28,3 tūkstoši </w:t>
      </w:r>
      <w:r w:rsidRPr="00737ABA">
        <w:rPr>
          <w:rFonts w:ascii="Arial Narrow" w:hAnsi="Arial Narrow" w:cs="Arial"/>
          <w:i/>
          <w:iCs/>
          <w:sz w:val="22"/>
          <w:szCs w:val="22"/>
        </w:rPr>
        <w:t>euro</w:t>
      </w:r>
      <w:r w:rsidRPr="00737ABA">
        <w:rPr>
          <w:rFonts w:ascii="Arial Narrow" w:hAnsi="Arial Narrow" w:cs="Arial"/>
          <w:sz w:val="22"/>
          <w:szCs w:val="22"/>
        </w:rPr>
        <w:t xml:space="preserve">. Azartspēļu nodokli maksā kapitālsabiedrības, kas likumā “Par izložu un azartspēļu nodevu un nodokli” noteiktajā kārtībā saņēmušas speciālu atļauju azartspēļu organizēšanai un uzturēšanai. 2022. gadā ieņēmumi no azartspēļu nodokļa 95% apmērā tika ieskaitīti valsts pamatbudžetā, bet 5% apmērā tika ieskaitīti tās pašvaldības budžetā, kuras teritorijā tiek organizētas azartspēles. Salīdzinājumā ar 2021.gadu, šī nodokļa ieņēmumi palielinājušies par 23 tūkstošiem </w:t>
      </w:r>
      <w:r w:rsidRPr="00737ABA">
        <w:rPr>
          <w:rFonts w:ascii="Arial Narrow" w:hAnsi="Arial Narrow" w:cs="Arial"/>
          <w:i/>
          <w:iCs/>
          <w:sz w:val="22"/>
          <w:szCs w:val="22"/>
        </w:rPr>
        <w:t>euro</w:t>
      </w:r>
      <w:r w:rsidRPr="00737ABA">
        <w:rPr>
          <w:rFonts w:ascii="Arial Narrow" w:hAnsi="Arial Narrow" w:cs="Arial"/>
          <w:sz w:val="22"/>
          <w:szCs w:val="22"/>
        </w:rPr>
        <w:t>, jo pēc Covid-19 pandēmijas beigām  azartspēļu zāles atsāka darboties pilnā darba režīmā. Valmierā uz pārskata perioda beigām darbojās 5 spēļu</w:t>
      </w:r>
      <w:r w:rsidRPr="00737ABA">
        <w:rPr>
          <w:rFonts w:ascii="Arial Narrow" w:hAnsi="Arial Narrow" w:cs="Arial"/>
          <w:color w:val="FF0000"/>
          <w:sz w:val="22"/>
          <w:szCs w:val="22"/>
        </w:rPr>
        <w:t xml:space="preserve"> </w:t>
      </w:r>
      <w:r w:rsidRPr="00737ABA">
        <w:rPr>
          <w:rFonts w:ascii="Arial Narrow" w:hAnsi="Arial Narrow" w:cs="Arial"/>
          <w:sz w:val="22"/>
          <w:szCs w:val="22"/>
        </w:rPr>
        <w:t>zāles.</w:t>
      </w:r>
    </w:p>
    <w:bookmarkEnd w:id="0"/>
    <w:p w14:paraId="4CBF7D7E" w14:textId="77777777" w:rsidR="00C7337E" w:rsidRPr="00737ABA" w:rsidRDefault="00C7337E" w:rsidP="00C7337E">
      <w:pPr>
        <w:ind w:firstLine="720"/>
        <w:jc w:val="both"/>
        <w:rPr>
          <w:rFonts w:ascii="Arial Narrow" w:hAnsi="Arial Narrow" w:cs="Arial"/>
          <w:b/>
          <w:bCs/>
          <w:sz w:val="22"/>
          <w:szCs w:val="22"/>
        </w:rPr>
      </w:pPr>
      <w:proofErr w:type="spellStart"/>
      <w:r w:rsidRPr="00737ABA">
        <w:rPr>
          <w:rFonts w:ascii="Arial Narrow" w:hAnsi="Arial Narrow" w:cs="Arial"/>
          <w:b/>
          <w:bCs/>
          <w:sz w:val="22"/>
          <w:szCs w:val="22"/>
        </w:rPr>
        <w:t>Nenodokļu</w:t>
      </w:r>
      <w:proofErr w:type="spellEnd"/>
      <w:r w:rsidRPr="00737ABA">
        <w:rPr>
          <w:rFonts w:ascii="Arial Narrow" w:hAnsi="Arial Narrow" w:cs="Arial"/>
          <w:b/>
          <w:bCs/>
          <w:sz w:val="22"/>
          <w:szCs w:val="22"/>
        </w:rPr>
        <w:t xml:space="preserve"> ieņēmumi</w:t>
      </w:r>
    </w:p>
    <w:p w14:paraId="693E261C"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proofErr w:type="spellStart"/>
      <w:r w:rsidRPr="00737ABA">
        <w:rPr>
          <w:rFonts w:ascii="Arial Narrow" w:hAnsi="Arial Narrow" w:cs="Arial"/>
          <w:bCs/>
          <w:sz w:val="22"/>
          <w:szCs w:val="22"/>
        </w:rPr>
        <w:t>Nenodokļu</w:t>
      </w:r>
      <w:proofErr w:type="spellEnd"/>
      <w:r w:rsidRPr="00737ABA">
        <w:rPr>
          <w:rFonts w:ascii="Arial Narrow" w:hAnsi="Arial Narrow" w:cs="Arial"/>
          <w:bCs/>
          <w:sz w:val="22"/>
          <w:szCs w:val="22"/>
        </w:rPr>
        <w:t xml:space="preserve"> ieņēmumus</w:t>
      </w:r>
      <w:r w:rsidRPr="00737ABA">
        <w:rPr>
          <w:rFonts w:ascii="Arial Narrow" w:hAnsi="Arial Narrow" w:cs="Arial"/>
          <w:b/>
          <w:bCs/>
          <w:sz w:val="22"/>
          <w:szCs w:val="22"/>
        </w:rPr>
        <w:t xml:space="preserve"> </w:t>
      </w:r>
      <w:r w:rsidRPr="00737ABA">
        <w:rPr>
          <w:rFonts w:ascii="Arial Narrow" w:hAnsi="Arial Narrow" w:cs="Arial"/>
          <w:sz w:val="22"/>
          <w:szCs w:val="22"/>
        </w:rPr>
        <w:t xml:space="preserve">veido valsts un pašvaldību nodevas, naudas sodi un sankcijas, ieņēmumi no pašvaldības īpašuma pārdošanas, kā arī procentu ieņēmumi no depozītiem un kontu atlikumiem. Šajā budžeta sadaļā 2022. gadā iekasēti 2,67 miljoni </w:t>
      </w:r>
      <w:r w:rsidRPr="00737ABA">
        <w:rPr>
          <w:rFonts w:ascii="Arial Narrow" w:hAnsi="Arial Narrow" w:cs="Arial"/>
          <w:i/>
          <w:sz w:val="22"/>
          <w:szCs w:val="22"/>
        </w:rPr>
        <w:t>euro</w:t>
      </w:r>
      <w:r w:rsidRPr="00737ABA">
        <w:rPr>
          <w:rFonts w:ascii="Arial Narrow" w:hAnsi="Arial Narrow" w:cs="Arial"/>
          <w:sz w:val="22"/>
          <w:szCs w:val="22"/>
        </w:rPr>
        <w:t xml:space="preserve">, kas ir par 578 tūkstošiem </w:t>
      </w:r>
      <w:r w:rsidRPr="00737ABA">
        <w:rPr>
          <w:rFonts w:ascii="Arial Narrow" w:hAnsi="Arial Narrow" w:cs="Arial"/>
          <w:i/>
          <w:sz w:val="22"/>
          <w:szCs w:val="22"/>
        </w:rPr>
        <w:t>euro</w:t>
      </w:r>
      <w:r w:rsidRPr="00737ABA">
        <w:rPr>
          <w:rFonts w:ascii="Arial Narrow" w:hAnsi="Arial Narrow" w:cs="Arial"/>
          <w:sz w:val="22"/>
          <w:szCs w:val="22"/>
        </w:rPr>
        <w:t xml:space="preserve"> jeb 18 procentiem mazāk nekā plānots. </w:t>
      </w:r>
    </w:p>
    <w:p w14:paraId="1048EA20"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Valsts un pašvaldību nodevas iekasētas 84 tūkstošu </w:t>
      </w:r>
      <w:r w:rsidRPr="00737ABA">
        <w:rPr>
          <w:rFonts w:ascii="Arial Narrow" w:hAnsi="Arial Narrow" w:cs="Arial"/>
          <w:i/>
          <w:sz w:val="22"/>
          <w:szCs w:val="22"/>
        </w:rPr>
        <w:t>euro</w:t>
      </w:r>
      <w:r w:rsidRPr="00737ABA">
        <w:rPr>
          <w:rFonts w:ascii="Arial Narrow" w:hAnsi="Arial Narrow" w:cs="Arial"/>
          <w:sz w:val="22"/>
          <w:szCs w:val="22"/>
        </w:rPr>
        <w:t xml:space="preserve"> apmērā, un naudas sodi iekasēti  28 tūkstošu </w:t>
      </w:r>
      <w:r w:rsidRPr="00737ABA">
        <w:rPr>
          <w:rFonts w:ascii="Arial Narrow" w:hAnsi="Arial Narrow" w:cs="Arial"/>
          <w:i/>
          <w:sz w:val="22"/>
          <w:szCs w:val="22"/>
        </w:rPr>
        <w:t>euro</w:t>
      </w:r>
      <w:r w:rsidRPr="00737ABA">
        <w:rPr>
          <w:rFonts w:ascii="Arial Narrow" w:hAnsi="Arial Narrow" w:cs="Arial"/>
          <w:sz w:val="22"/>
          <w:szCs w:val="22"/>
        </w:rPr>
        <w:t xml:space="preserve"> apmērā.</w:t>
      </w:r>
    </w:p>
    <w:p w14:paraId="584A7AF5" w14:textId="77777777" w:rsidR="00C7337E" w:rsidRPr="00737ABA" w:rsidRDefault="00C7337E" w:rsidP="00C7337E">
      <w:pPr>
        <w:ind w:firstLine="720"/>
        <w:jc w:val="both"/>
        <w:rPr>
          <w:rFonts w:ascii="Arial Narrow" w:hAnsi="Arial Narrow" w:cs="Arial"/>
          <w:i/>
          <w:iCs/>
          <w:sz w:val="22"/>
          <w:szCs w:val="22"/>
        </w:rPr>
      </w:pPr>
      <w:r w:rsidRPr="00737ABA">
        <w:rPr>
          <w:rFonts w:ascii="Arial Narrow" w:hAnsi="Arial Narrow" w:cs="Arial"/>
          <w:sz w:val="22"/>
          <w:szCs w:val="22"/>
        </w:rPr>
        <w:t xml:space="preserve">Pašvaldība no </w:t>
      </w:r>
      <w:r w:rsidRPr="00737ABA">
        <w:rPr>
          <w:rFonts w:ascii="Arial Narrow" w:hAnsi="Arial Narrow" w:cs="Arial"/>
          <w:color w:val="222222"/>
          <w:sz w:val="22"/>
          <w:szCs w:val="22"/>
          <w:shd w:val="clear" w:color="auto" w:fill="FFFFFF"/>
          <w:lang w:eastAsia="en-GB"/>
        </w:rPr>
        <w:t xml:space="preserve"> nekustamo īpašumu un kustamo mantu pārdošanas </w:t>
      </w:r>
      <w:r w:rsidRPr="00737ABA">
        <w:rPr>
          <w:rFonts w:ascii="Arial Narrow" w:hAnsi="Arial Narrow" w:cs="Arial"/>
          <w:sz w:val="22"/>
          <w:szCs w:val="22"/>
        </w:rPr>
        <w:t xml:space="preserve">pārskata periodā  saņēmusi 2,36 miljonus </w:t>
      </w:r>
      <w:r w:rsidRPr="00737ABA">
        <w:rPr>
          <w:rFonts w:ascii="Arial Narrow" w:hAnsi="Arial Narrow" w:cs="Arial"/>
          <w:i/>
          <w:sz w:val="22"/>
          <w:szCs w:val="22"/>
        </w:rPr>
        <w:t>euro</w:t>
      </w:r>
      <w:r w:rsidRPr="00737ABA">
        <w:rPr>
          <w:rFonts w:ascii="Arial Narrow" w:hAnsi="Arial Narrow" w:cs="Arial"/>
          <w:sz w:val="22"/>
          <w:szCs w:val="22"/>
        </w:rPr>
        <w:t xml:space="preserve">, tai skaitā no ēku un būvju pārdošanas - 491 tūkstoti </w:t>
      </w:r>
      <w:r w:rsidRPr="00737ABA">
        <w:rPr>
          <w:rFonts w:ascii="Arial Narrow" w:hAnsi="Arial Narrow" w:cs="Arial"/>
          <w:i/>
          <w:iCs/>
          <w:sz w:val="22"/>
          <w:szCs w:val="22"/>
        </w:rPr>
        <w:t>euro,</w:t>
      </w:r>
      <w:r w:rsidRPr="00737ABA">
        <w:rPr>
          <w:rFonts w:ascii="Arial Narrow" w:hAnsi="Arial Narrow" w:cs="Arial"/>
          <w:sz w:val="22"/>
          <w:szCs w:val="22"/>
        </w:rPr>
        <w:t xml:space="preserve"> zemes un meža pārdošanas - 854 tūkstošus </w:t>
      </w:r>
      <w:r w:rsidRPr="00737ABA">
        <w:rPr>
          <w:rFonts w:ascii="Arial Narrow" w:hAnsi="Arial Narrow" w:cs="Arial"/>
          <w:i/>
          <w:iCs/>
          <w:sz w:val="22"/>
          <w:szCs w:val="22"/>
        </w:rPr>
        <w:t>euro</w:t>
      </w:r>
      <w:r w:rsidRPr="00737ABA">
        <w:rPr>
          <w:rFonts w:ascii="Arial Narrow" w:hAnsi="Arial Narrow" w:cs="Arial"/>
          <w:sz w:val="22"/>
          <w:szCs w:val="22"/>
        </w:rPr>
        <w:t xml:space="preserve">, kustamā īpašuma realizācijas - 975 tūkstošus </w:t>
      </w:r>
      <w:r w:rsidRPr="00737ABA">
        <w:rPr>
          <w:rFonts w:ascii="Arial Narrow" w:hAnsi="Arial Narrow" w:cs="Arial"/>
          <w:i/>
          <w:iCs/>
          <w:sz w:val="22"/>
          <w:szCs w:val="22"/>
        </w:rPr>
        <w:t>euro</w:t>
      </w:r>
      <w:r w:rsidRPr="00737ABA">
        <w:rPr>
          <w:rFonts w:ascii="Arial Narrow" w:hAnsi="Arial Narrow" w:cs="Arial"/>
          <w:sz w:val="22"/>
          <w:szCs w:val="22"/>
        </w:rPr>
        <w:t xml:space="preserve"> un no valsts un pašvaldības īpašuma iznomāšanas - 47 tūkstošus </w:t>
      </w:r>
      <w:r w:rsidRPr="00737ABA">
        <w:rPr>
          <w:rFonts w:ascii="Arial Narrow" w:hAnsi="Arial Narrow" w:cs="Arial"/>
          <w:i/>
          <w:iCs/>
          <w:sz w:val="22"/>
          <w:szCs w:val="22"/>
        </w:rPr>
        <w:t>euro.</w:t>
      </w:r>
    </w:p>
    <w:p w14:paraId="3C5BDEB9" w14:textId="77777777" w:rsidR="00C7337E" w:rsidRPr="00737ABA" w:rsidRDefault="00C7337E" w:rsidP="00C7337E">
      <w:pPr>
        <w:ind w:firstLine="720"/>
        <w:rPr>
          <w:rFonts w:ascii="Arial Narrow" w:hAnsi="Arial Narrow" w:cs="Arial"/>
          <w:i/>
          <w:iCs/>
          <w:sz w:val="22"/>
          <w:szCs w:val="22"/>
          <w:lang w:eastAsia="en-GB"/>
        </w:rPr>
      </w:pPr>
    </w:p>
    <w:p w14:paraId="2B7C3141" w14:textId="77777777" w:rsidR="00C7337E" w:rsidRPr="00737ABA" w:rsidRDefault="00C7337E" w:rsidP="00C7337E">
      <w:pPr>
        <w:autoSpaceDE w:val="0"/>
        <w:autoSpaceDN w:val="0"/>
        <w:adjustRightInd w:val="0"/>
        <w:ind w:firstLine="720"/>
        <w:jc w:val="both"/>
        <w:rPr>
          <w:rFonts w:ascii="Arial Narrow" w:hAnsi="Arial Narrow" w:cs="Arial"/>
          <w:color w:val="FF0000"/>
          <w:sz w:val="22"/>
          <w:szCs w:val="22"/>
        </w:rPr>
      </w:pPr>
      <w:r w:rsidRPr="00737ABA">
        <w:rPr>
          <w:rFonts w:ascii="Arial Narrow" w:hAnsi="Arial Narrow" w:cs="Arial"/>
          <w:b/>
          <w:sz w:val="22"/>
          <w:szCs w:val="22"/>
        </w:rPr>
        <w:t xml:space="preserve">Par maksas pakalpojumiem iekasētajos un citos pašu ieņēmumos </w:t>
      </w:r>
      <w:r w:rsidRPr="00737ABA">
        <w:rPr>
          <w:rFonts w:ascii="Arial Narrow" w:hAnsi="Arial Narrow" w:cs="Arial"/>
          <w:sz w:val="22"/>
          <w:szCs w:val="22"/>
        </w:rPr>
        <w:t xml:space="preserve">2022. gadā saņemti 5,31 miljons </w:t>
      </w:r>
      <w:r w:rsidRPr="00737ABA">
        <w:rPr>
          <w:rFonts w:ascii="Arial Narrow" w:hAnsi="Arial Narrow" w:cs="Arial"/>
          <w:i/>
          <w:sz w:val="22"/>
          <w:szCs w:val="22"/>
        </w:rPr>
        <w:t>euro</w:t>
      </w:r>
      <w:r w:rsidRPr="00737ABA">
        <w:rPr>
          <w:rFonts w:ascii="Arial Narrow" w:hAnsi="Arial Narrow" w:cs="Arial"/>
          <w:sz w:val="22"/>
          <w:szCs w:val="22"/>
        </w:rPr>
        <w:t xml:space="preserve">, kas ir par 869 tūkstošiem </w:t>
      </w:r>
      <w:r w:rsidRPr="00737ABA">
        <w:rPr>
          <w:rFonts w:ascii="Arial Narrow" w:hAnsi="Arial Narrow" w:cs="Arial"/>
          <w:i/>
          <w:sz w:val="22"/>
          <w:szCs w:val="22"/>
        </w:rPr>
        <w:t>euro</w:t>
      </w:r>
      <w:r w:rsidRPr="00737ABA">
        <w:rPr>
          <w:rFonts w:ascii="Arial Narrow" w:hAnsi="Arial Narrow" w:cs="Arial"/>
          <w:sz w:val="22"/>
          <w:szCs w:val="22"/>
        </w:rPr>
        <w:t xml:space="preserve"> vairāk nekā plānots.</w:t>
      </w:r>
      <w:r w:rsidRPr="00737ABA">
        <w:rPr>
          <w:rFonts w:ascii="Arial Narrow" w:hAnsi="Arial Narrow" w:cs="Arial"/>
          <w:color w:val="FF0000"/>
          <w:sz w:val="22"/>
          <w:szCs w:val="22"/>
        </w:rPr>
        <w:t xml:space="preserve"> </w:t>
      </w:r>
    </w:p>
    <w:p w14:paraId="567A607B"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 Galvenie ieņēmumu avoti ir par personu uzturēšanos pansionātā „Valmiera” un sociālās aprūpes centrā “Lode” – 1,02 miljoni </w:t>
      </w:r>
      <w:r w:rsidRPr="00737ABA">
        <w:rPr>
          <w:rFonts w:ascii="Arial Narrow" w:hAnsi="Arial Narrow" w:cs="Arial"/>
          <w:i/>
          <w:sz w:val="22"/>
          <w:szCs w:val="22"/>
        </w:rPr>
        <w:t xml:space="preserve">euro, </w:t>
      </w:r>
      <w:r w:rsidRPr="00737ABA">
        <w:rPr>
          <w:rFonts w:ascii="Arial Narrow" w:hAnsi="Arial Narrow" w:cs="Arial"/>
          <w:sz w:val="22"/>
          <w:szCs w:val="22"/>
        </w:rPr>
        <w:t xml:space="preserve">ieņēmumi par telpu un zemes nomu – 1,66 miljoni </w:t>
      </w:r>
      <w:r w:rsidRPr="00737ABA">
        <w:rPr>
          <w:rFonts w:ascii="Arial Narrow" w:hAnsi="Arial Narrow" w:cs="Arial"/>
          <w:i/>
          <w:sz w:val="22"/>
          <w:szCs w:val="22"/>
        </w:rPr>
        <w:t>euro</w:t>
      </w:r>
      <w:r w:rsidRPr="00737ABA">
        <w:rPr>
          <w:rFonts w:ascii="Arial Narrow" w:hAnsi="Arial Narrow" w:cs="Arial"/>
          <w:sz w:val="22"/>
          <w:szCs w:val="22"/>
        </w:rPr>
        <w:t xml:space="preserve">. Ieņēmumi no vecāku maksām par bērnu uzturēšanos pirmsskolas izglītības iestādēs - 464 tūkstoši </w:t>
      </w:r>
      <w:r w:rsidRPr="00737ABA">
        <w:rPr>
          <w:rFonts w:ascii="Arial Narrow" w:hAnsi="Arial Narrow" w:cs="Arial"/>
          <w:i/>
          <w:sz w:val="22"/>
          <w:szCs w:val="22"/>
        </w:rPr>
        <w:t>euro</w:t>
      </w:r>
      <w:r w:rsidRPr="00737ABA">
        <w:rPr>
          <w:rFonts w:ascii="Arial Narrow" w:hAnsi="Arial Narrow" w:cs="Arial"/>
          <w:sz w:val="22"/>
          <w:szCs w:val="22"/>
        </w:rPr>
        <w:t xml:space="preserve"> un ieņēmumi par pārējiem izglītības pakalpojumiem - 244 tūkstoši </w:t>
      </w:r>
      <w:r w:rsidRPr="00737ABA">
        <w:rPr>
          <w:rFonts w:ascii="Arial Narrow" w:hAnsi="Arial Narrow" w:cs="Arial"/>
          <w:i/>
          <w:sz w:val="22"/>
          <w:szCs w:val="22"/>
        </w:rPr>
        <w:t>euro</w:t>
      </w:r>
      <w:r w:rsidRPr="00737ABA">
        <w:rPr>
          <w:rFonts w:ascii="Arial Narrow" w:hAnsi="Arial Narrow" w:cs="Arial"/>
          <w:sz w:val="22"/>
          <w:szCs w:val="22"/>
        </w:rPr>
        <w:t xml:space="preserve">. </w:t>
      </w:r>
    </w:p>
    <w:p w14:paraId="2FD42EAB"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p>
    <w:p w14:paraId="7A0F23BE" w14:textId="77777777" w:rsidR="00C7337E" w:rsidRPr="00737ABA" w:rsidRDefault="00C7337E" w:rsidP="00C7337E">
      <w:pPr>
        <w:spacing w:after="120"/>
        <w:ind w:firstLine="709"/>
        <w:jc w:val="both"/>
        <w:rPr>
          <w:rFonts w:ascii="Arial Narrow" w:hAnsi="Arial Narrow" w:cs="Arial"/>
          <w:bCs/>
          <w:sz w:val="22"/>
          <w:szCs w:val="22"/>
        </w:rPr>
      </w:pPr>
      <w:r w:rsidRPr="00737ABA">
        <w:rPr>
          <w:rFonts w:ascii="Arial Narrow" w:hAnsi="Arial Narrow" w:cs="Arial"/>
          <w:b/>
          <w:bCs/>
          <w:sz w:val="22"/>
          <w:szCs w:val="22"/>
          <w:u w:val="single"/>
        </w:rPr>
        <w:t>Ārvalstu finanšu palīdzības</w:t>
      </w:r>
      <w:r w:rsidRPr="00737ABA">
        <w:rPr>
          <w:rFonts w:ascii="Arial Narrow" w:hAnsi="Arial Narrow" w:cs="Arial"/>
          <w:b/>
          <w:bCs/>
          <w:sz w:val="22"/>
          <w:szCs w:val="22"/>
        </w:rPr>
        <w:t xml:space="preserve"> </w:t>
      </w:r>
      <w:r w:rsidRPr="00737ABA">
        <w:rPr>
          <w:rFonts w:ascii="Arial Narrow" w:hAnsi="Arial Narrow" w:cs="Arial"/>
          <w:bCs/>
          <w:sz w:val="22"/>
          <w:szCs w:val="22"/>
        </w:rPr>
        <w:t xml:space="preserve">ieņēmumi 2022. gadā saņemti 250,6 tūkstošu </w:t>
      </w:r>
      <w:r w:rsidRPr="00737ABA">
        <w:rPr>
          <w:rFonts w:ascii="Arial Narrow" w:hAnsi="Arial Narrow" w:cs="Arial"/>
          <w:bCs/>
          <w:i/>
          <w:sz w:val="22"/>
          <w:szCs w:val="22"/>
        </w:rPr>
        <w:t xml:space="preserve">euro </w:t>
      </w:r>
      <w:r w:rsidRPr="00737ABA">
        <w:rPr>
          <w:rFonts w:ascii="Arial Narrow" w:hAnsi="Arial Narrow" w:cs="Arial"/>
          <w:bCs/>
          <w:sz w:val="22"/>
          <w:szCs w:val="22"/>
        </w:rPr>
        <w:t>apmērā, tajā skaitā lielākie:</w:t>
      </w:r>
    </w:p>
    <w:p w14:paraId="31DB371F" w14:textId="77777777" w:rsidR="00C7337E" w:rsidRPr="00737ABA" w:rsidRDefault="00C7337E" w:rsidP="00C7337E">
      <w:pPr>
        <w:numPr>
          <w:ilvl w:val="0"/>
          <w:numId w:val="4"/>
        </w:numPr>
        <w:spacing w:after="120"/>
        <w:jc w:val="both"/>
        <w:rPr>
          <w:rFonts w:ascii="Arial Narrow" w:hAnsi="Arial Narrow" w:cs="Arial"/>
          <w:bCs/>
          <w:sz w:val="22"/>
          <w:szCs w:val="22"/>
        </w:rPr>
      </w:pPr>
      <w:r w:rsidRPr="00737ABA">
        <w:rPr>
          <w:rFonts w:ascii="Arial Narrow" w:hAnsi="Arial Narrow" w:cs="Arial"/>
          <w:sz w:val="22"/>
          <w:szCs w:val="22"/>
        </w:rPr>
        <w:t xml:space="preserve">Eiropas Reģionālās attīstības fonda projektam “Dienas pieļaujamās maksimālās slodzes, lai mazinātu barības  vielu daudzumu Rīgas jūras līcī’  - 23,4 tūkstoši </w:t>
      </w:r>
      <w:r w:rsidRPr="00737ABA">
        <w:rPr>
          <w:rFonts w:ascii="Arial Narrow" w:hAnsi="Arial Narrow" w:cs="Arial"/>
          <w:i/>
          <w:iCs/>
          <w:sz w:val="22"/>
          <w:szCs w:val="22"/>
        </w:rPr>
        <w:t>euro</w:t>
      </w:r>
      <w:r w:rsidRPr="00737ABA">
        <w:rPr>
          <w:rFonts w:ascii="Arial Narrow" w:hAnsi="Arial Narrow" w:cs="Arial"/>
          <w:sz w:val="22"/>
          <w:szCs w:val="22"/>
        </w:rPr>
        <w:t>;</w:t>
      </w:r>
    </w:p>
    <w:p w14:paraId="41DE66EB" w14:textId="77777777" w:rsidR="00C7337E" w:rsidRPr="00737ABA" w:rsidRDefault="00C7337E" w:rsidP="00C7337E">
      <w:pPr>
        <w:numPr>
          <w:ilvl w:val="0"/>
          <w:numId w:val="2"/>
        </w:numPr>
        <w:spacing w:after="120"/>
        <w:jc w:val="both"/>
        <w:rPr>
          <w:rFonts w:ascii="Arial Narrow" w:hAnsi="Arial Narrow" w:cs="Arial"/>
          <w:color w:val="632423"/>
          <w:sz w:val="22"/>
          <w:szCs w:val="22"/>
        </w:rPr>
      </w:pPr>
      <w:r w:rsidRPr="00737ABA">
        <w:rPr>
          <w:rFonts w:ascii="Arial Narrow" w:hAnsi="Arial Narrow" w:cs="Arial"/>
          <w:sz w:val="22"/>
          <w:szCs w:val="22"/>
        </w:rPr>
        <w:t xml:space="preserve">Eiropas Komisijas atbalstītā Eiropas Kultūras projekta „Eiropas izaicinājums- 2022” un </w:t>
      </w:r>
      <w:proofErr w:type="spellStart"/>
      <w:r w:rsidRPr="00737ABA">
        <w:rPr>
          <w:rFonts w:ascii="Arial Narrow" w:hAnsi="Arial Narrow" w:cs="Arial"/>
          <w:sz w:val="22"/>
          <w:szCs w:val="22"/>
        </w:rPr>
        <w:t>Erasmus</w:t>
      </w:r>
      <w:proofErr w:type="spellEnd"/>
      <w:r w:rsidRPr="00737ABA">
        <w:rPr>
          <w:rFonts w:ascii="Arial Narrow" w:hAnsi="Arial Narrow" w:cs="Arial"/>
          <w:sz w:val="22"/>
          <w:szCs w:val="22"/>
        </w:rPr>
        <w:t xml:space="preserve"> + projektu īstenošanai Valmieras novada bibliotēkās - </w:t>
      </w:r>
      <w:r w:rsidRPr="00737ABA">
        <w:rPr>
          <w:rFonts w:ascii="Arial Narrow" w:hAnsi="Arial Narrow" w:cs="Arial"/>
          <w:bCs/>
          <w:sz w:val="22"/>
          <w:szCs w:val="22"/>
        </w:rPr>
        <w:t xml:space="preserve">33,3 tūkstoši </w:t>
      </w:r>
      <w:r w:rsidRPr="00737ABA">
        <w:rPr>
          <w:rFonts w:ascii="Arial Narrow" w:hAnsi="Arial Narrow" w:cs="Arial"/>
          <w:bCs/>
          <w:i/>
          <w:sz w:val="22"/>
          <w:szCs w:val="22"/>
        </w:rPr>
        <w:t>euro</w:t>
      </w:r>
      <w:r w:rsidRPr="00737ABA">
        <w:rPr>
          <w:rFonts w:ascii="Arial Narrow" w:hAnsi="Arial Narrow" w:cs="Arial"/>
          <w:sz w:val="22"/>
          <w:szCs w:val="22"/>
        </w:rPr>
        <w:t xml:space="preserve">; </w:t>
      </w:r>
    </w:p>
    <w:p w14:paraId="0C1F2A3A" w14:textId="77777777" w:rsidR="00C7337E" w:rsidRPr="00737ABA" w:rsidRDefault="00C7337E" w:rsidP="00C7337E">
      <w:pPr>
        <w:numPr>
          <w:ilvl w:val="0"/>
          <w:numId w:val="2"/>
        </w:numPr>
        <w:spacing w:after="120"/>
        <w:jc w:val="both"/>
        <w:rPr>
          <w:rFonts w:ascii="Arial Narrow" w:hAnsi="Arial Narrow" w:cs="Arial"/>
          <w:color w:val="632423"/>
          <w:sz w:val="22"/>
          <w:szCs w:val="22"/>
        </w:rPr>
      </w:pPr>
      <w:proofErr w:type="spellStart"/>
      <w:r w:rsidRPr="00737ABA">
        <w:rPr>
          <w:rFonts w:ascii="Arial Narrow" w:hAnsi="Arial Narrow" w:cs="Arial"/>
          <w:sz w:val="22"/>
          <w:szCs w:val="22"/>
        </w:rPr>
        <w:t>Erasmus</w:t>
      </w:r>
      <w:proofErr w:type="spellEnd"/>
      <w:r w:rsidRPr="00737ABA">
        <w:rPr>
          <w:rFonts w:ascii="Arial Narrow" w:hAnsi="Arial Narrow" w:cs="Arial"/>
          <w:sz w:val="22"/>
          <w:szCs w:val="22"/>
        </w:rPr>
        <w:t xml:space="preserve"> + projekta “Eiropas mākslas laboratorija nākotnei” Mazsalacas  vidusskolā - 16,5 tūkstoši </w:t>
      </w:r>
      <w:r w:rsidRPr="00737ABA">
        <w:rPr>
          <w:rFonts w:ascii="Arial Narrow" w:hAnsi="Arial Narrow" w:cs="Arial"/>
          <w:i/>
          <w:iCs/>
          <w:sz w:val="22"/>
          <w:szCs w:val="22"/>
        </w:rPr>
        <w:t>euro</w:t>
      </w:r>
      <w:r w:rsidRPr="00737ABA">
        <w:rPr>
          <w:rFonts w:ascii="Arial Narrow" w:hAnsi="Arial Narrow" w:cs="Arial"/>
          <w:sz w:val="22"/>
          <w:szCs w:val="22"/>
        </w:rPr>
        <w:t>;</w:t>
      </w:r>
    </w:p>
    <w:p w14:paraId="22A3B948" w14:textId="77777777" w:rsidR="00C7337E" w:rsidRPr="00737ABA" w:rsidRDefault="00C7337E" w:rsidP="00C7337E">
      <w:pPr>
        <w:numPr>
          <w:ilvl w:val="0"/>
          <w:numId w:val="2"/>
        </w:numPr>
        <w:spacing w:after="120"/>
        <w:jc w:val="both"/>
        <w:rPr>
          <w:rFonts w:ascii="Arial Narrow" w:hAnsi="Arial Narrow" w:cs="Arial"/>
          <w:i/>
          <w:iCs/>
          <w:color w:val="632423"/>
          <w:sz w:val="22"/>
          <w:szCs w:val="22"/>
        </w:rPr>
      </w:pPr>
      <w:proofErr w:type="spellStart"/>
      <w:r w:rsidRPr="00737ABA">
        <w:rPr>
          <w:rFonts w:ascii="Arial Narrow" w:hAnsi="Arial Narrow" w:cs="Arial"/>
          <w:sz w:val="22"/>
          <w:szCs w:val="22"/>
        </w:rPr>
        <w:lastRenderedPageBreak/>
        <w:t>Erasmus</w:t>
      </w:r>
      <w:proofErr w:type="spellEnd"/>
      <w:r w:rsidRPr="00737ABA">
        <w:rPr>
          <w:rFonts w:ascii="Arial Narrow" w:hAnsi="Arial Narrow" w:cs="Arial"/>
          <w:sz w:val="22"/>
          <w:szCs w:val="22"/>
        </w:rPr>
        <w:t xml:space="preserve">+ projekta “vardarbība ārpus skolas sienām” Naukšēnu vidusskolā - 11,9 tūkstoši </w:t>
      </w:r>
      <w:r w:rsidRPr="00737ABA">
        <w:rPr>
          <w:rFonts w:ascii="Arial Narrow" w:hAnsi="Arial Narrow" w:cs="Arial"/>
          <w:i/>
          <w:iCs/>
          <w:sz w:val="22"/>
          <w:szCs w:val="22"/>
        </w:rPr>
        <w:t>euro;</w:t>
      </w:r>
    </w:p>
    <w:p w14:paraId="7E07BA32" w14:textId="77777777" w:rsidR="00C7337E" w:rsidRPr="00737ABA" w:rsidRDefault="00C7337E" w:rsidP="00C7337E">
      <w:pPr>
        <w:numPr>
          <w:ilvl w:val="0"/>
          <w:numId w:val="2"/>
        </w:numPr>
        <w:spacing w:after="120"/>
        <w:jc w:val="both"/>
        <w:rPr>
          <w:rFonts w:ascii="Arial Narrow" w:hAnsi="Arial Narrow" w:cs="Arial"/>
          <w:i/>
          <w:iCs/>
          <w:color w:val="632423"/>
          <w:sz w:val="22"/>
          <w:szCs w:val="22"/>
        </w:rPr>
      </w:pPr>
      <w:proofErr w:type="spellStart"/>
      <w:r w:rsidRPr="00737ABA">
        <w:rPr>
          <w:rFonts w:ascii="Arial Narrow" w:hAnsi="Arial Narrow" w:cs="Arial"/>
          <w:sz w:val="22"/>
          <w:szCs w:val="22"/>
        </w:rPr>
        <w:t>Erasmus</w:t>
      </w:r>
      <w:proofErr w:type="spellEnd"/>
      <w:r w:rsidRPr="00737ABA">
        <w:rPr>
          <w:rFonts w:ascii="Arial Narrow" w:hAnsi="Arial Narrow" w:cs="Arial"/>
          <w:sz w:val="22"/>
          <w:szCs w:val="22"/>
        </w:rPr>
        <w:t xml:space="preserve">+ projekta “Izveido savu nākotni pats” Valmieras Valsts ģimnāzijā - 29,4 tūkstoši </w:t>
      </w:r>
      <w:r w:rsidRPr="00737ABA">
        <w:rPr>
          <w:rFonts w:ascii="Arial Narrow" w:hAnsi="Arial Narrow" w:cs="Arial"/>
          <w:i/>
          <w:iCs/>
          <w:sz w:val="22"/>
          <w:szCs w:val="22"/>
        </w:rPr>
        <w:t>euro;</w:t>
      </w:r>
    </w:p>
    <w:p w14:paraId="097F1577" w14:textId="77777777" w:rsidR="00C7337E" w:rsidRPr="00737ABA" w:rsidRDefault="00C7337E" w:rsidP="00C7337E">
      <w:pPr>
        <w:numPr>
          <w:ilvl w:val="0"/>
          <w:numId w:val="2"/>
        </w:numPr>
        <w:spacing w:after="120"/>
        <w:jc w:val="both"/>
        <w:rPr>
          <w:rFonts w:ascii="Arial Narrow" w:hAnsi="Arial Narrow" w:cs="Arial"/>
          <w:color w:val="632423"/>
          <w:sz w:val="22"/>
          <w:szCs w:val="22"/>
        </w:rPr>
      </w:pPr>
      <w:proofErr w:type="spellStart"/>
      <w:r w:rsidRPr="00737ABA">
        <w:rPr>
          <w:rFonts w:ascii="Arial Narrow" w:hAnsi="Arial Narrow" w:cs="Arial"/>
          <w:sz w:val="22"/>
          <w:szCs w:val="22"/>
        </w:rPr>
        <w:t>Erasmus</w:t>
      </w:r>
      <w:proofErr w:type="spellEnd"/>
      <w:r w:rsidRPr="00737ABA">
        <w:rPr>
          <w:rFonts w:ascii="Arial Narrow" w:hAnsi="Arial Narrow" w:cs="Arial"/>
          <w:sz w:val="22"/>
          <w:szCs w:val="22"/>
        </w:rPr>
        <w:t xml:space="preserve"> + projekta “Mākslas terapija skolēniem ar </w:t>
      </w:r>
      <w:proofErr w:type="spellStart"/>
      <w:r w:rsidRPr="00737ABA">
        <w:rPr>
          <w:rFonts w:ascii="Arial Narrow" w:hAnsi="Arial Narrow" w:cs="Arial"/>
          <w:sz w:val="22"/>
          <w:szCs w:val="22"/>
        </w:rPr>
        <w:t>autismu</w:t>
      </w:r>
      <w:proofErr w:type="spellEnd"/>
      <w:r w:rsidRPr="00737ABA">
        <w:rPr>
          <w:rFonts w:ascii="Arial Narrow" w:hAnsi="Arial Narrow" w:cs="Arial"/>
          <w:sz w:val="22"/>
          <w:szCs w:val="22"/>
        </w:rPr>
        <w:t xml:space="preserve">” Valmieras Gaujas krasta  vidusskolā - 10,7 tūkstoši </w:t>
      </w:r>
      <w:r w:rsidRPr="00737ABA">
        <w:rPr>
          <w:rFonts w:ascii="Arial Narrow" w:hAnsi="Arial Narrow" w:cs="Arial"/>
          <w:i/>
          <w:iCs/>
          <w:sz w:val="22"/>
          <w:szCs w:val="22"/>
        </w:rPr>
        <w:t>euro</w:t>
      </w:r>
      <w:r w:rsidRPr="00737ABA">
        <w:rPr>
          <w:rFonts w:ascii="Arial Narrow" w:hAnsi="Arial Narrow" w:cs="Arial"/>
          <w:sz w:val="22"/>
          <w:szCs w:val="22"/>
        </w:rPr>
        <w:t>;</w:t>
      </w:r>
    </w:p>
    <w:p w14:paraId="6B672F19" w14:textId="77777777" w:rsidR="00C7337E" w:rsidRPr="00737ABA" w:rsidRDefault="00C7337E" w:rsidP="00C7337E">
      <w:pPr>
        <w:numPr>
          <w:ilvl w:val="0"/>
          <w:numId w:val="2"/>
        </w:numPr>
        <w:spacing w:after="120"/>
        <w:jc w:val="both"/>
        <w:rPr>
          <w:rFonts w:ascii="Arial Narrow" w:hAnsi="Arial Narrow" w:cs="Arial"/>
          <w:sz w:val="22"/>
          <w:szCs w:val="22"/>
        </w:rPr>
      </w:pPr>
      <w:proofErr w:type="spellStart"/>
      <w:r w:rsidRPr="00737ABA">
        <w:rPr>
          <w:rFonts w:ascii="Arial Narrow" w:hAnsi="Arial Narrow" w:cs="Arial"/>
          <w:sz w:val="22"/>
          <w:szCs w:val="22"/>
        </w:rPr>
        <w:t>Erasmus</w:t>
      </w:r>
      <w:proofErr w:type="spellEnd"/>
      <w:r w:rsidRPr="00737ABA">
        <w:rPr>
          <w:rFonts w:ascii="Arial Narrow" w:hAnsi="Arial Narrow" w:cs="Arial"/>
          <w:sz w:val="22"/>
          <w:szCs w:val="22"/>
        </w:rPr>
        <w:t>+ projektam “Vardarbība ārpus skolas sienām” Naukšēnu vidusskolā - 11,8 tūkstoši euro;</w:t>
      </w:r>
    </w:p>
    <w:p w14:paraId="7086CD1D" w14:textId="77777777" w:rsidR="00C7337E" w:rsidRPr="00737ABA" w:rsidRDefault="00C7337E" w:rsidP="00C7337E">
      <w:pPr>
        <w:numPr>
          <w:ilvl w:val="0"/>
          <w:numId w:val="2"/>
        </w:numPr>
        <w:spacing w:after="120"/>
        <w:jc w:val="both"/>
        <w:rPr>
          <w:rFonts w:ascii="Arial Narrow" w:hAnsi="Arial Narrow" w:cs="Arial"/>
          <w:sz w:val="22"/>
          <w:szCs w:val="22"/>
        </w:rPr>
      </w:pPr>
      <w:r w:rsidRPr="00737ABA">
        <w:rPr>
          <w:rFonts w:ascii="Arial Narrow" w:hAnsi="Arial Narrow" w:cs="Arial"/>
          <w:sz w:val="22"/>
          <w:szCs w:val="22"/>
        </w:rPr>
        <w:t xml:space="preserve"> </w:t>
      </w:r>
      <w:proofErr w:type="spellStart"/>
      <w:r w:rsidRPr="00737ABA">
        <w:rPr>
          <w:rFonts w:ascii="Arial Narrow" w:hAnsi="Arial Narrow" w:cs="Arial"/>
          <w:sz w:val="22"/>
          <w:szCs w:val="22"/>
        </w:rPr>
        <w:t>Erasmus</w:t>
      </w:r>
      <w:proofErr w:type="spellEnd"/>
      <w:r w:rsidRPr="00737ABA">
        <w:rPr>
          <w:rFonts w:ascii="Arial Narrow" w:hAnsi="Arial Narrow" w:cs="Arial"/>
          <w:sz w:val="22"/>
          <w:szCs w:val="22"/>
        </w:rPr>
        <w:t>+ projektam “Mācies kopā ar ģimeni” Valmieras Jaunatnes centrā “Vinda” - 9,5 tūkstoši euro;</w:t>
      </w:r>
    </w:p>
    <w:p w14:paraId="7E77B543" w14:textId="77777777" w:rsidR="00C7337E" w:rsidRPr="00737ABA" w:rsidRDefault="00C7337E" w:rsidP="00C7337E">
      <w:pPr>
        <w:numPr>
          <w:ilvl w:val="0"/>
          <w:numId w:val="2"/>
        </w:numPr>
        <w:spacing w:after="120"/>
        <w:jc w:val="both"/>
        <w:rPr>
          <w:rFonts w:ascii="Arial Narrow" w:hAnsi="Arial Narrow" w:cs="Arial"/>
          <w:color w:val="632423"/>
          <w:sz w:val="22"/>
          <w:szCs w:val="22"/>
        </w:rPr>
      </w:pPr>
      <w:proofErr w:type="spellStart"/>
      <w:r w:rsidRPr="00737ABA">
        <w:rPr>
          <w:rFonts w:ascii="Arial Narrow" w:hAnsi="Arial Narrow" w:cs="Arial"/>
          <w:sz w:val="22"/>
          <w:szCs w:val="22"/>
        </w:rPr>
        <w:t>Erasmus</w:t>
      </w:r>
      <w:proofErr w:type="spellEnd"/>
      <w:r w:rsidRPr="00737ABA">
        <w:rPr>
          <w:rFonts w:ascii="Arial Narrow" w:hAnsi="Arial Narrow" w:cs="Arial"/>
          <w:sz w:val="22"/>
          <w:szCs w:val="22"/>
        </w:rPr>
        <w:t xml:space="preserve"> + projekta “</w:t>
      </w:r>
      <w:proofErr w:type="spellStart"/>
      <w:r w:rsidRPr="00737ABA">
        <w:rPr>
          <w:rFonts w:ascii="Arial Narrow" w:hAnsi="Arial Narrow" w:cs="Arial"/>
          <w:sz w:val="22"/>
          <w:szCs w:val="22"/>
        </w:rPr>
        <w:t>Be</w:t>
      </w:r>
      <w:proofErr w:type="spellEnd"/>
      <w:r w:rsidRPr="00737ABA">
        <w:rPr>
          <w:rFonts w:ascii="Arial Narrow" w:hAnsi="Arial Narrow" w:cs="Arial"/>
          <w:sz w:val="22"/>
          <w:szCs w:val="22"/>
        </w:rPr>
        <w:t xml:space="preserve"> </w:t>
      </w:r>
      <w:proofErr w:type="spellStart"/>
      <w:r w:rsidRPr="00737ABA">
        <w:rPr>
          <w:rFonts w:ascii="Arial Narrow" w:hAnsi="Arial Narrow" w:cs="Arial"/>
          <w:sz w:val="22"/>
          <w:szCs w:val="22"/>
        </w:rPr>
        <w:t>PART</w:t>
      </w:r>
      <w:proofErr w:type="spellEnd"/>
      <w:r w:rsidRPr="00737ABA">
        <w:rPr>
          <w:rFonts w:ascii="Arial Narrow" w:hAnsi="Arial Narrow" w:cs="Arial"/>
          <w:sz w:val="22"/>
          <w:szCs w:val="22"/>
        </w:rPr>
        <w:t xml:space="preserve"> – Jaunatnes iespēju izkopšana…” Valmieras Pārgaujas sākumskolā  - 16,7 tūkstoši </w:t>
      </w:r>
      <w:r w:rsidRPr="00737ABA">
        <w:rPr>
          <w:rFonts w:ascii="Arial Narrow" w:hAnsi="Arial Narrow" w:cs="Arial"/>
          <w:i/>
          <w:iCs/>
          <w:sz w:val="22"/>
          <w:szCs w:val="22"/>
        </w:rPr>
        <w:t>euro</w:t>
      </w:r>
      <w:r w:rsidRPr="00737ABA">
        <w:rPr>
          <w:rFonts w:ascii="Arial Narrow" w:hAnsi="Arial Narrow" w:cs="Arial"/>
          <w:sz w:val="22"/>
          <w:szCs w:val="22"/>
        </w:rPr>
        <w:t xml:space="preserve"> apmērā.</w:t>
      </w:r>
    </w:p>
    <w:p w14:paraId="5171C28D"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proofErr w:type="spellStart"/>
      <w:r w:rsidRPr="00737ABA">
        <w:rPr>
          <w:rFonts w:ascii="Arial Narrow" w:hAnsi="Arial Narrow" w:cs="Arial"/>
          <w:b/>
          <w:bCs/>
          <w:sz w:val="22"/>
          <w:szCs w:val="22"/>
        </w:rPr>
        <w:t>Transfertu</w:t>
      </w:r>
      <w:proofErr w:type="spellEnd"/>
      <w:r w:rsidRPr="00737ABA">
        <w:rPr>
          <w:rFonts w:ascii="Arial Narrow" w:hAnsi="Arial Narrow" w:cs="Arial"/>
          <w:b/>
          <w:bCs/>
          <w:sz w:val="22"/>
          <w:szCs w:val="22"/>
        </w:rPr>
        <w:t xml:space="preserve"> </w:t>
      </w:r>
      <w:r w:rsidRPr="00737ABA">
        <w:rPr>
          <w:rFonts w:ascii="Arial Narrow" w:hAnsi="Arial Narrow" w:cs="Arial"/>
          <w:b/>
          <w:sz w:val="22"/>
          <w:szCs w:val="22"/>
        </w:rPr>
        <w:t>ieņēmumus</w:t>
      </w:r>
      <w:r w:rsidRPr="00737ABA">
        <w:rPr>
          <w:rFonts w:ascii="Arial Narrow" w:hAnsi="Arial Narrow" w:cs="Arial"/>
          <w:sz w:val="22"/>
          <w:szCs w:val="22"/>
        </w:rPr>
        <w:t xml:space="preserve"> veido maksājumi, kas saņemti no valsts, citas pašvaldības, no valsts budžeta daļēji finansētām atsavinātām publiskām personām un no budžeta nefinansētām iestādēm, bet nav maksājumi par sniegtajiem pakalpojumiem. </w:t>
      </w:r>
    </w:p>
    <w:p w14:paraId="144174C4"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2022. gadā </w:t>
      </w:r>
      <w:proofErr w:type="spellStart"/>
      <w:r w:rsidRPr="00737ABA">
        <w:rPr>
          <w:rFonts w:ascii="Arial Narrow" w:hAnsi="Arial Narrow" w:cs="Arial"/>
          <w:sz w:val="22"/>
          <w:szCs w:val="22"/>
        </w:rPr>
        <w:t>transfertu</w:t>
      </w:r>
      <w:proofErr w:type="spellEnd"/>
      <w:r w:rsidRPr="00737ABA">
        <w:rPr>
          <w:rFonts w:ascii="Arial Narrow" w:hAnsi="Arial Narrow" w:cs="Arial"/>
          <w:sz w:val="22"/>
          <w:szCs w:val="22"/>
        </w:rPr>
        <w:t xml:space="preserve"> ieņēmumi saņemti 44,2 miljonu </w:t>
      </w:r>
      <w:proofErr w:type="spellStart"/>
      <w:r w:rsidRPr="00737ABA">
        <w:rPr>
          <w:rFonts w:ascii="Arial Narrow" w:hAnsi="Arial Narrow" w:cs="Arial"/>
          <w:i/>
          <w:sz w:val="22"/>
          <w:szCs w:val="22"/>
        </w:rPr>
        <w:t>euro</w:t>
      </w:r>
      <w:proofErr w:type="spellEnd"/>
      <w:r w:rsidRPr="00737ABA">
        <w:rPr>
          <w:rFonts w:ascii="Arial Narrow" w:hAnsi="Arial Narrow" w:cs="Arial"/>
          <w:sz w:val="22"/>
          <w:szCs w:val="22"/>
        </w:rPr>
        <w:t xml:space="preserve"> apmērā, kas ir par 1,54 miljoniem </w:t>
      </w:r>
      <w:r w:rsidRPr="00737ABA">
        <w:rPr>
          <w:rFonts w:ascii="Arial Narrow" w:hAnsi="Arial Narrow" w:cs="Arial"/>
          <w:i/>
          <w:sz w:val="22"/>
          <w:szCs w:val="22"/>
        </w:rPr>
        <w:t>euro</w:t>
      </w:r>
      <w:r w:rsidRPr="00737ABA">
        <w:rPr>
          <w:rFonts w:ascii="Arial Narrow" w:hAnsi="Arial Narrow" w:cs="Arial"/>
          <w:sz w:val="22"/>
          <w:szCs w:val="22"/>
        </w:rPr>
        <w:t xml:space="preserve"> jeb 3,37 procentiem mazāk nekā plānots. </w:t>
      </w:r>
    </w:p>
    <w:p w14:paraId="2E293901"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Lielākie finansējumi 16,05 miljonu </w:t>
      </w:r>
      <w:r w:rsidRPr="00737ABA">
        <w:rPr>
          <w:rFonts w:ascii="Arial Narrow" w:hAnsi="Arial Narrow" w:cs="Arial"/>
          <w:i/>
          <w:iCs/>
          <w:sz w:val="22"/>
          <w:szCs w:val="22"/>
        </w:rPr>
        <w:t>euro</w:t>
      </w:r>
      <w:r w:rsidRPr="00737ABA">
        <w:rPr>
          <w:rFonts w:ascii="Arial Narrow" w:hAnsi="Arial Narrow" w:cs="Arial"/>
          <w:sz w:val="22"/>
          <w:szCs w:val="22"/>
        </w:rPr>
        <w:t xml:space="preserve"> apmērā saņemti no Izglītības un zinātnes ministrijas vispārējo izglītības iestāžu un Valmieras novada sporta skolu pedagogu atalgojumam un valsts sociālās apdrošināšanas iemaksām, un speciālo izglītības iestāžu uzturēšanai. Dotācija 359,1 tūkstošu </w:t>
      </w:r>
      <w:r w:rsidRPr="00737ABA">
        <w:rPr>
          <w:rFonts w:ascii="Arial Narrow" w:hAnsi="Arial Narrow" w:cs="Arial"/>
          <w:i/>
          <w:iCs/>
          <w:sz w:val="22"/>
          <w:szCs w:val="22"/>
        </w:rPr>
        <w:t>euro</w:t>
      </w:r>
      <w:r w:rsidRPr="00737ABA">
        <w:rPr>
          <w:rFonts w:ascii="Arial Narrow" w:hAnsi="Arial Narrow" w:cs="Arial"/>
          <w:sz w:val="22"/>
          <w:szCs w:val="22"/>
        </w:rPr>
        <w:t xml:space="preserve"> apmērā saņemta brīvpusdienu nodrošināšanai 1.- 4. klašu skolēniem. Mācību līdzekļu  iegādei saņemti 233,1 tūkstoši </w:t>
      </w:r>
      <w:r w:rsidRPr="00737ABA">
        <w:rPr>
          <w:rFonts w:ascii="Arial Narrow" w:hAnsi="Arial Narrow" w:cs="Arial"/>
          <w:i/>
          <w:iCs/>
          <w:sz w:val="22"/>
          <w:szCs w:val="22"/>
        </w:rPr>
        <w:t>euro</w:t>
      </w:r>
      <w:r w:rsidRPr="00737ABA">
        <w:rPr>
          <w:rFonts w:ascii="Arial Narrow" w:hAnsi="Arial Narrow" w:cs="Arial"/>
          <w:sz w:val="22"/>
          <w:szCs w:val="22"/>
        </w:rPr>
        <w:t xml:space="preserve">. 72 tūkstošus </w:t>
      </w:r>
      <w:r w:rsidRPr="00737ABA">
        <w:rPr>
          <w:rFonts w:ascii="Arial Narrow" w:hAnsi="Arial Narrow" w:cs="Arial"/>
          <w:i/>
          <w:iCs/>
          <w:sz w:val="22"/>
          <w:szCs w:val="22"/>
        </w:rPr>
        <w:t>euro</w:t>
      </w:r>
      <w:r w:rsidRPr="00737ABA">
        <w:rPr>
          <w:rFonts w:ascii="Arial Narrow" w:hAnsi="Arial Narrow" w:cs="Arial"/>
          <w:sz w:val="22"/>
          <w:szCs w:val="22"/>
        </w:rPr>
        <w:t xml:space="preserve"> Izglītības un zinātnes ministrija piešķīrusi augstas klases sportistu sagatavošanas centra uzturēšanai 2022. gadā.</w:t>
      </w:r>
    </w:p>
    <w:p w14:paraId="7E7C9EDF" w14:textId="77777777" w:rsidR="00C7337E" w:rsidRPr="00737ABA" w:rsidRDefault="00C7337E" w:rsidP="00C7337E">
      <w:pPr>
        <w:autoSpaceDE w:val="0"/>
        <w:autoSpaceDN w:val="0"/>
        <w:adjustRightInd w:val="0"/>
        <w:ind w:firstLine="720"/>
        <w:jc w:val="both"/>
        <w:rPr>
          <w:rFonts w:ascii="Arial Narrow" w:hAnsi="Arial Narrow" w:cs="Arial"/>
          <w:color w:val="000000"/>
          <w:sz w:val="22"/>
          <w:szCs w:val="22"/>
        </w:rPr>
      </w:pPr>
      <w:r w:rsidRPr="00737ABA">
        <w:rPr>
          <w:rFonts w:ascii="Arial Narrow" w:hAnsi="Arial Narrow" w:cs="Arial"/>
          <w:sz w:val="22"/>
          <w:szCs w:val="22"/>
        </w:rPr>
        <w:t xml:space="preserve">Kultūras ministrija un Latvijas Nacionālais kultūras centrs Pašvaldībai pārskata periodā ieskaitījis 1,44 miljonus </w:t>
      </w:r>
      <w:r w:rsidRPr="00737ABA">
        <w:rPr>
          <w:rFonts w:ascii="Arial Narrow" w:hAnsi="Arial Narrow" w:cs="Arial"/>
          <w:i/>
          <w:sz w:val="22"/>
          <w:szCs w:val="22"/>
        </w:rPr>
        <w:t xml:space="preserve">euro </w:t>
      </w:r>
      <w:r w:rsidRPr="00737ABA">
        <w:rPr>
          <w:rFonts w:ascii="Arial Narrow" w:hAnsi="Arial Narrow" w:cs="Arial"/>
          <w:sz w:val="22"/>
          <w:szCs w:val="22"/>
        </w:rPr>
        <w:t xml:space="preserve">finansējumu Valmieras Mākslas vidusskolas un novada Mūzikas skolu pedagogu atalgojumam un Pašvaldības māksliniecisko kolektīvu vadītāju atalgojumam. Šo mērķdotāciju saņem Pašvaldības 57 tautas mākslas kolektīvu vadītāji, kuru kolektīvi sagatavo Vispārējiem latviešu dziesmu un deju svētkiem noteikto repertuāru (kori, tautas deju kolektīvi un pūtēju orķestri) vai saskaņā ar Dziesmu un deju svētku likumu ir noteikti par svētku dalībniekiem (folkloras kopas, etnogrāfiskie ansambļi, koklētāju ansambļi, lietišķās mākslas studijas un citi). </w:t>
      </w:r>
      <w:r w:rsidRPr="00737ABA">
        <w:rPr>
          <w:rFonts w:ascii="Arial Narrow" w:hAnsi="Arial Narrow" w:cs="Arial"/>
          <w:color w:val="000000"/>
          <w:sz w:val="22"/>
          <w:szCs w:val="22"/>
        </w:rPr>
        <w:t xml:space="preserve">61,2 tūkstoši </w:t>
      </w:r>
      <w:r w:rsidRPr="00737ABA">
        <w:rPr>
          <w:rFonts w:ascii="Arial Narrow" w:hAnsi="Arial Narrow" w:cs="Arial"/>
          <w:i/>
          <w:color w:val="000000"/>
          <w:sz w:val="22"/>
          <w:szCs w:val="22"/>
        </w:rPr>
        <w:t>euro</w:t>
      </w:r>
      <w:r w:rsidRPr="00737ABA">
        <w:rPr>
          <w:rFonts w:ascii="Arial Narrow" w:hAnsi="Arial Narrow" w:cs="Arial"/>
          <w:color w:val="000000"/>
          <w:sz w:val="22"/>
          <w:szCs w:val="22"/>
        </w:rPr>
        <w:t xml:space="preserve"> saņemti no Kultūras ministrijas projekta “Latvijas skolas soma” realizācijai izglītības iestādēs.</w:t>
      </w:r>
    </w:p>
    <w:p w14:paraId="0DE7C41B"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No Labklājības ministrijas Pašvaldība pārskata periodā saņēmusi Valsts budžeta dotāciju 772,6 tūkstoši </w:t>
      </w:r>
      <w:r w:rsidRPr="00737ABA">
        <w:rPr>
          <w:rFonts w:ascii="Arial Narrow" w:hAnsi="Arial Narrow" w:cs="Arial"/>
          <w:i/>
          <w:sz w:val="22"/>
          <w:szCs w:val="22"/>
        </w:rPr>
        <w:t>euro</w:t>
      </w:r>
      <w:r w:rsidRPr="00737ABA">
        <w:rPr>
          <w:rFonts w:ascii="Arial Narrow" w:hAnsi="Arial Narrow" w:cs="Arial"/>
          <w:sz w:val="22"/>
          <w:szCs w:val="22"/>
        </w:rPr>
        <w:t xml:space="preserve"> apmērā asistenta pakalpojumu nodrošināšanai un sociālai rehabilitācijai vardarbībā cietušām un vardarbību veikušām personām.</w:t>
      </w:r>
    </w:p>
    <w:p w14:paraId="0F5AF34A" w14:textId="77777777" w:rsidR="00C7337E" w:rsidRPr="00737ABA" w:rsidRDefault="00C7337E" w:rsidP="00C7337E">
      <w:pPr>
        <w:autoSpaceDE w:val="0"/>
        <w:autoSpaceDN w:val="0"/>
        <w:adjustRightInd w:val="0"/>
        <w:ind w:firstLine="720"/>
        <w:jc w:val="both"/>
        <w:rPr>
          <w:rFonts w:ascii="Arial Narrow" w:hAnsi="Arial Narrow" w:cs="Arial"/>
          <w:color w:val="000000"/>
          <w:sz w:val="22"/>
          <w:szCs w:val="22"/>
        </w:rPr>
      </w:pPr>
      <w:r w:rsidRPr="00737ABA">
        <w:rPr>
          <w:rFonts w:ascii="Arial Narrow" w:hAnsi="Arial Narrow" w:cs="Arial"/>
          <w:sz w:val="22"/>
          <w:szCs w:val="22"/>
        </w:rPr>
        <w:t xml:space="preserve">Satiksmes ministrija Pašvaldībai ieskaitījusi dotāciju 121,8 tūkstošus </w:t>
      </w:r>
      <w:r w:rsidRPr="00737ABA">
        <w:rPr>
          <w:rFonts w:ascii="Arial Narrow" w:hAnsi="Arial Narrow" w:cs="Arial"/>
          <w:i/>
          <w:sz w:val="22"/>
          <w:szCs w:val="22"/>
        </w:rPr>
        <w:t>euro</w:t>
      </w:r>
      <w:r w:rsidRPr="00737ABA">
        <w:rPr>
          <w:rFonts w:ascii="Arial Narrow" w:hAnsi="Arial Narrow" w:cs="Arial"/>
          <w:sz w:val="22"/>
          <w:szCs w:val="22"/>
        </w:rPr>
        <w:t xml:space="preserve"> apmērā </w:t>
      </w:r>
      <w:r w:rsidRPr="00737ABA">
        <w:rPr>
          <w:rFonts w:ascii="Arial Narrow" w:hAnsi="Arial Narrow" w:cs="Arial"/>
          <w:color w:val="000000"/>
          <w:sz w:val="22"/>
          <w:szCs w:val="22"/>
        </w:rPr>
        <w:t>zaudējumu, kas saistīti ar I un II grupas invalīdu, bērnu invalīdu un personu, kas pavada I grupas invalīdu vai bērnu invalīdu, kompensēšanai SIA „</w:t>
      </w:r>
      <w:proofErr w:type="spellStart"/>
      <w:r w:rsidRPr="00737ABA">
        <w:rPr>
          <w:rFonts w:ascii="Arial Narrow" w:hAnsi="Arial Narrow" w:cs="Arial"/>
          <w:color w:val="000000"/>
          <w:sz w:val="22"/>
          <w:szCs w:val="22"/>
        </w:rPr>
        <w:t>VTU</w:t>
      </w:r>
      <w:proofErr w:type="spellEnd"/>
      <w:r w:rsidRPr="00737ABA">
        <w:rPr>
          <w:rFonts w:ascii="Arial Narrow" w:hAnsi="Arial Narrow" w:cs="Arial"/>
          <w:color w:val="000000"/>
          <w:sz w:val="22"/>
          <w:szCs w:val="22"/>
        </w:rPr>
        <w:t xml:space="preserve"> Valmiera” un pasažieru pārvadātāja zaudējumu kompensēšanai par maršrutiem, kuru daļa vairāk kā 30 procentu apmērā iziet ārpus pilsētas administratīvās teritorijas un 1,49 miljonus </w:t>
      </w:r>
      <w:r w:rsidRPr="00737ABA">
        <w:rPr>
          <w:rFonts w:ascii="Arial Narrow" w:hAnsi="Arial Narrow" w:cs="Arial"/>
          <w:i/>
          <w:color w:val="000000"/>
          <w:sz w:val="22"/>
          <w:szCs w:val="22"/>
        </w:rPr>
        <w:t>euro</w:t>
      </w:r>
      <w:r w:rsidRPr="00737ABA">
        <w:rPr>
          <w:rFonts w:ascii="Arial Narrow" w:hAnsi="Arial Narrow" w:cs="Arial"/>
          <w:color w:val="000000"/>
          <w:sz w:val="22"/>
          <w:szCs w:val="22"/>
        </w:rPr>
        <w:t xml:space="preserve"> mērķdotāciju pašvaldības autoceļu uzturēšanai un remontiem.</w:t>
      </w:r>
    </w:p>
    <w:p w14:paraId="2F340931" w14:textId="77777777" w:rsidR="00C7337E" w:rsidRPr="00737ABA" w:rsidRDefault="00C7337E" w:rsidP="00C7337E">
      <w:pPr>
        <w:autoSpaceDE w:val="0"/>
        <w:autoSpaceDN w:val="0"/>
        <w:adjustRightInd w:val="0"/>
        <w:ind w:firstLine="720"/>
        <w:jc w:val="both"/>
        <w:rPr>
          <w:rFonts w:ascii="Arial Narrow" w:hAnsi="Arial Narrow" w:cs="Arial"/>
          <w:color w:val="000000"/>
          <w:sz w:val="22"/>
          <w:szCs w:val="22"/>
        </w:rPr>
      </w:pPr>
      <w:r w:rsidRPr="00737ABA">
        <w:rPr>
          <w:rFonts w:ascii="Arial Narrow" w:hAnsi="Arial Narrow" w:cs="Arial"/>
          <w:sz w:val="22"/>
          <w:szCs w:val="22"/>
        </w:rPr>
        <w:t xml:space="preserve">Valsts reģionālās attīstības aģentūras dotācija investīciju projektu īstenošanai  Pašvaldībai 2022. gadā piešķīra līdzfinansējumu 1,54 miljonus </w:t>
      </w:r>
      <w:r w:rsidRPr="00737ABA">
        <w:rPr>
          <w:rFonts w:ascii="Arial Narrow" w:hAnsi="Arial Narrow" w:cs="Arial"/>
          <w:i/>
          <w:iCs/>
          <w:sz w:val="22"/>
          <w:szCs w:val="22"/>
        </w:rPr>
        <w:t>euro</w:t>
      </w:r>
      <w:r w:rsidRPr="00737ABA">
        <w:rPr>
          <w:rFonts w:ascii="Arial Narrow" w:hAnsi="Arial Narrow" w:cs="Arial"/>
          <w:sz w:val="22"/>
          <w:szCs w:val="22"/>
        </w:rPr>
        <w:t xml:space="preserve"> apmērā, tai skaitā Valmieras sākumskolas “Ventilāciju sistēmu uzlabošana” 216,6 tūkstošus </w:t>
      </w:r>
      <w:r w:rsidRPr="00737ABA">
        <w:rPr>
          <w:rFonts w:ascii="Arial Narrow" w:hAnsi="Arial Narrow" w:cs="Arial"/>
          <w:i/>
          <w:iCs/>
          <w:sz w:val="22"/>
          <w:szCs w:val="22"/>
        </w:rPr>
        <w:t>euro</w:t>
      </w:r>
      <w:r w:rsidRPr="00737ABA">
        <w:rPr>
          <w:rFonts w:ascii="Arial Narrow" w:hAnsi="Arial Narrow" w:cs="Arial"/>
          <w:sz w:val="22"/>
          <w:szCs w:val="22"/>
        </w:rPr>
        <w:t xml:space="preserve"> un “Valmieras Gaujas krasta vidusskolas Sporta zāles būvniecībai” 1,32 miljonus </w:t>
      </w:r>
      <w:r w:rsidRPr="00737ABA">
        <w:rPr>
          <w:rFonts w:ascii="Arial Narrow" w:hAnsi="Arial Narrow" w:cs="Arial"/>
          <w:i/>
          <w:iCs/>
          <w:sz w:val="22"/>
          <w:szCs w:val="22"/>
        </w:rPr>
        <w:t>euro</w:t>
      </w:r>
      <w:r w:rsidRPr="00737ABA">
        <w:rPr>
          <w:rFonts w:ascii="Arial Narrow" w:hAnsi="Arial Narrow" w:cs="Arial"/>
          <w:sz w:val="22"/>
          <w:szCs w:val="22"/>
        </w:rPr>
        <w:t>.</w:t>
      </w:r>
    </w:p>
    <w:p w14:paraId="7A517630" w14:textId="77777777" w:rsidR="00C7337E" w:rsidRPr="00737ABA" w:rsidRDefault="00C7337E" w:rsidP="00C7337E">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color w:val="000000"/>
          <w:sz w:val="22"/>
          <w:szCs w:val="22"/>
        </w:rPr>
      </w:pPr>
      <w:r w:rsidRPr="00737ABA">
        <w:rPr>
          <w:rFonts w:ascii="Arial Narrow" w:hAnsi="Arial Narrow" w:cs="Arial"/>
          <w:color w:val="000000"/>
          <w:sz w:val="22"/>
          <w:szCs w:val="22"/>
        </w:rPr>
        <w:tab/>
        <w:t xml:space="preserve">Nodarbinātības valsts aģentūra Pārskata periodā Pašvaldībai pārskaitījusi 82,8 tūkstošus </w:t>
      </w:r>
      <w:r w:rsidRPr="00737ABA">
        <w:rPr>
          <w:rFonts w:ascii="Arial Narrow" w:hAnsi="Arial Narrow" w:cs="Arial"/>
          <w:i/>
          <w:color w:val="000000"/>
          <w:sz w:val="22"/>
          <w:szCs w:val="22"/>
        </w:rPr>
        <w:t>euro</w:t>
      </w:r>
      <w:r w:rsidRPr="00737ABA">
        <w:rPr>
          <w:rFonts w:ascii="Arial Narrow" w:hAnsi="Arial Narrow" w:cs="Arial"/>
          <w:color w:val="000000"/>
          <w:sz w:val="22"/>
          <w:szCs w:val="22"/>
        </w:rPr>
        <w:t xml:space="preserve"> aktīvās nodarbinātības pasākumam “Algotie pagaidu sabiedriskie darbi” un skolēnu nodarbinātībai vasarā.</w:t>
      </w:r>
    </w:p>
    <w:p w14:paraId="22300407" w14:textId="77777777" w:rsidR="00C7337E" w:rsidRPr="00737ABA" w:rsidRDefault="00C7337E" w:rsidP="00C7337E">
      <w:pPr>
        <w:autoSpaceDE w:val="0"/>
        <w:autoSpaceDN w:val="0"/>
        <w:adjustRightInd w:val="0"/>
        <w:spacing w:after="120"/>
        <w:ind w:firstLine="360"/>
        <w:jc w:val="both"/>
        <w:rPr>
          <w:rFonts w:ascii="Arial Narrow" w:hAnsi="Arial Narrow" w:cs="Arial"/>
          <w:color w:val="000000"/>
          <w:sz w:val="22"/>
          <w:szCs w:val="22"/>
        </w:rPr>
      </w:pPr>
      <w:r w:rsidRPr="00737ABA">
        <w:rPr>
          <w:rFonts w:ascii="Arial Narrow" w:hAnsi="Arial Narrow" w:cs="Arial"/>
          <w:sz w:val="22"/>
          <w:szCs w:val="22"/>
          <w:u w:val="single"/>
        </w:rPr>
        <w:t>Ieņēmumos par valsts un ES struktūrfondu finansēto daļu projektu īstenošanai</w:t>
      </w:r>
      <w:r w:rsidRPr="00737ABA">
        <w:rPr>
          <w:rFonts w:ascii="Arial Narrow" w:hAnsi="Arial Narrow" w:cs="Arial"/>
          <w:sz w:val="22"/>
          <w:szCs w:val="22"/>
        </w:rPr>
        <w:t xml:space="preserve"> pašvaldība saņēmusi 6,9 milj. </w:t>
      </w:r>
      <w:r w:rsidRPr="00737ABA">
        <w:rPr>
          <w:rFonts w:ascii="Arial Narrow" w:hAnsi="Arial Narrow" w:cs="Arial"/>
          <w:i/>
          <w:sz w:val="22"/>
          <w:szCs w:val="22"/>
        </w:rPr>
        <w:t>euro</w:t>
      </w:r>
      <w:r w:rsidRPr="00737ABA">
        <w:rPr>
          <w:rFonts w:ascii="Arial Narrow" w:hAnsi="Arial Narrow" w:cs="Arial"/>
          <w:sz w:val="22"/>
          <w:szCs w:val="22"/>
        </w:rPr>
        <w:t xml:space="preserve">. </w:t>
      </w:r>
    </w:p>
    <w:p w14:paraId="27174C4C" w14:textId="77777777" w:rsidR="00C7337E" w:rsidRPr="00737ABA" w:rsidRDefault="00C7337E" w:rsidP="00C7337E">
      <w:pPr>
        <w:autoSpaceDE w:val="0"/>
        <w:autoSpaceDN w:val="0"/>
        <w:adjustRightInd w:val="0"/>
        <w:spacing w:after="120"/>
        <w:ind w:firstLine="426"/>
        <w:jc w:val="both"/>
        <w:rPr>
          <w:rFonts w:ascii="Arial Narrow" w:hAnsi="Arial Narrow" w:cs="Arial"/>
          <w:sz w:val="22"/>
          <w:szCs w:val="22"/>
        </w:rPr>
      </w:pPr>
      <w:r w:rsidRPr="00737ABA">
        <w:rPr>
          <w:rFonts w:ascii="Arial Narrow" w:hAnsi="Arial Narrow" w:cs="Arial"/>
          <w:sz w:val="22"/>
          <w:szCs w:val="22"/>
        </w:rPr>
        <w:t xml:space="preserve">Ieņēmumi no citām pašvaldībām saņemti 934,7 tūkstoši </w:t>
      </w:r>
      <w:r w:rsidRPr="00737ABA">
        <w:rPr>
          <w:rFonts w:ascii="Arial Narrow" w:hAnsi="Arial Narrow" w:cs="Arial"/>
          <w:i/>
          <w:iCs/>
          <w:sz w:val="22"/>
          <w:szCs w:val="22"/>
        </w:rPr>
        <w:t>euro</w:t>
      </w:r>
      <w:r w:rsidRPr="00737ABA">
        <w:rPr>
          <w:rFonts w:ascii="Arial Narrow" w:hAnsi="Arial Narrow" w:cs="Arial"/>
          <w:sz w:val="22"/>
          <w:szCs w:val="22"/>
        </w:rPr>
        <w:t xml:space="preserve"> apmērā, tajā skaitā par izglītības iestāžu sniegtajiem pakalpojumiem citu pašvaldību bērniem 587,7 tūkstoši </w:t>
      </w:r>
      <w:proofErr w:type="spellStart"/>
      <w:r w:rsidRPr="00737ABA">
        <w:rPr>
          <w:rFonts w:ascii="Arial Narrow" w:hAnsi="Arial Narrow" w:cs="Arial"/>
          <w:i/>
          <w:iCs/>
          <w:sz w:val="22"/>
          <w:szCs w:val="22"/>
        </w:rPr>
        <w:t>euro</w:t>
      </w:r>
      <w:proofErr w:type="spellEnd"/>
      <w:r w:rsidRPr="00737ABA">
        <w:rPr>
          <w:rFonts w:ascii="Arial Narrow" w:hAnsi="Arial Narrow" w:cs="Arial"/>
          <w:sz w:val="22"/>
          <w:szCs w:val="22"/>
        </w:rPr>
        <w:t xml:space="preserve"> un </w:t>
      </w:r>
      <w:proofErr w:type="spellStart"/>
      <w:r w:rsidRPr="00737ABA">
        <w:rPr>
          <w:rFonts w:ascii="Arial Narrow" w:hAnsi="Arial Narrow" w:cs="Arial"/>
          <w:sz w:val="22"/>
          <w:szCs w:val="22"/>
        </w:rPr>
        <w:t>SAM</w:t>
      </w:r>
      <w:proofErr w:type="spellEnd"/>
      <w:r w:rsidRPr="00737ABA">
        <w:rPr>
          <w:rFonts w:ascii="Arial Narrow" w:hAnsi="Arial Narrow" w:cs="Arial"/>
          <w:sz w:val="22"/>
          <w:szCs w:val="22"/>
        </w:rPr>
        <w:t xml:space="preserve"> 5.5.1. projekta “Kultūra, vēsture, arhitektūra Gauja un laika lokos’ no sadarbības partnera 271,2 tūkstoši </w:t>
      </w:r>
      <w:r w:rsidRPr="00737ABA">
        <w:rPr>
          <w:rFonts w:ascii="Arial Narrow" w:hAnsi="Arial Narrow" w:cs="Arial"/>
          <w:i/>
          <w:iCs/>
          <w:sz w:val="22"/>
          <w:szCs w:val="22"/>
        </w:rPr>
        <w:t>euro</w:t>
      </w:r>
      <w:r w:rsidRPr="00737ABA">
        <w:rPr>
          <w:rFonts w:ascii="Arial Narrow" w:hAnsi="Arial Narrow" w:cs="Arial"/>
          <w:sz w:val="22"/>
          <w:szCs w:val="22"/>
        </w:rPr>
        <w:t>.</w:t>
      </w:r>
    </w:p>
    <w:p w14:paraId="43D6CB96" w14:textId="77777777" w:rsidR="00C7337E" w:rsidRPr="00737ABA" w:rsidRDefault="00C7337E" w:rsidP="00C7337E">
      <w:pPr>
        <w:pStyle w:val="ListParagraph"/>
        <w:numPr>
          <w:ilvl w:val="1"/>
          <w:numId w:val="1"/>
        </w:numPr>
        <w:autoSpaceDE w:val="0"/>
        <w:autoSpaceDN w:val="0"/>
        <w:adjustRightInd w:val="0"/>
        <w:spacing w:after="120"/>
        <w:jc w:val="both"/>
        <w:rPr>
          <w:rFonts w:ascii="Arial Narrow" w:hAnsi="Arial Narrow" w:cs="Arial"/>
          <w:b/>
        </w:rPr>
      </w:pPr>
      <w:r w:rsidRPr="00737ABA">
        <w:rPr>
          <w:rFonts w:ascii="Arial Narrow" w:hAnsi="Arial Narrow" w:cs="Arial"/>
          <w:b/>
        </w:rPr>
        <w:t>Budžeta izdevumi</w:t>
      </w:r>
    </w:p>
    <w:p w14:paraId="224D1A60" w14:textId="77777777" w:rsidR="00C7337E" w:rsidRPr="00737ABA" w:rsidRDefault="00C7337E" w:rsidP="00C7337E">
      <w:pPr>
        <w:ind w:firstLine="426"/>
        <w:jc w:val="both"/>
        <w:rPr>
          <w:rFonts w:ascii="Arial Narrow" w:hAnsi="Arial Narrow" w:cs="Arial"/>
          <w:sz w:val="22"/>
          <w:szCs w:val="22"/>
        </w:rPr>
      </w:pPr>
      <w:r w:rsidRPr="00737ABA">
        <w:rPr>
          <w:rFonts w:ascii="Arial Narrow" w:hAnsi="Arial Narrow" w:cs="Arial"/>
          <w:sz w:val="22"/>
          <w:szCs w:val="22"/>
        </w:rPr>
        <w:t>Pašvaldības pamatbudžeta izdevumi 2022. gadā, neskaitot aizņēmumu atmaksu un līdzdalību radniecīgo uzņēmumu kapitālā, kopā bija 100 711 757 </w:t>
      </w:r>
      <w:r w:rsidRPr="00737ABA">
        <w:rPr>
          <w:rFonts w:ascii="Arial Narrow" w:hAnsi="Arial Narrow" w:cs="Arial"/>
          <w:i/>
          <w:sz w:val="22"/>
          <w:szCs w:val="22"/>
        </w:rPr>
        <w:t>euro</w:t>
      </w:r>
      <w:r w:rsidRPr="00737ABA">
        <w:rPr>
          <w:rFonts w:ascii="Arial Narrow" w:hAnsi="Arial Narrow" w:cs="Arial"/>
          <w:sz w:val="22"/>
          <w:szCs w:val="22"/>
        </w:rPr>
        <w:t xml:space="preserve"> jeb 85,3 % no plānotā apjoma. No šiem līdzekļiem tiek finansēta visu Pašvaldības iestāžu uzturēšana, kā arī plānoto pasākumu un projektu īstenošana. </w:t>
      </w:r>
    </w:p>
    <w:p w14:paraId="02F9A966"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Būtiskāko izdevumu daļu veido kārtējie uzturēšanas izdevumi, kas sastāda 65,9 % no visiem izdevumiem jeb 66,4 miljonus </w:t>
      </w:r>
      <w:r w:rsidRPr="00737ABA">
        <w:rPr>
          <w:rFonts w:ascii="Arial Narrow" w:hAnsi="Arial Narrow" w:cs="Arial"/>
          <w:i/>
          <w:sz w:val="22"/>
          <w:szCs w:val="22"/>
        </w:rPr>
        <w:t>euro</w:t>
      </w:r>
      <w:r w:rsidRPr="00737ABA">
        <w:rPr>
          <w:rFonts w:ascii="Arial Narrow" w:hAnsi="Arial Narrow" w:cs="Arial"/>
          <w:sz w:val="22"/>
          <w:szCs w:val="22"/>
        </w:rPr>
        <w:t xml:space="preserve">. Šie izdevumi ietver izmaksas atalgojumam, darba devēja valsts sociālās apdrošināšanas obligātajām iemaksām, darba devēja sociāla rakstura pabalstiem un kompensācijām, pakalpojumu apmaksai, komandējumu un dienesta braucienu, krājumu, materiālu, energoresursu, biroja preču un inventāra, kā arī grāmatu iegādes izmaksu segšanai un nodokļu maksājumiem. Pamatbudžeta izdevumu sadalījums pēc ekonomiskās klasifikācijas tabulā Nr.1.2.1. </w:t>
      </w:r>
    </w:p>
    <w:p w14:paraId="3EE45D56" w14:textId="77777777" w:rsidR="00C7337E" w:rsidRPr="00737ABA" w:rsidRDefault="00C7337E" w:rsidP="00C7337E">
      <w:pPr>
        <w:autoSpaceDE w:val="0"/>
        <w:autoSpaceDN w:val="0"/>
        <w:adjustRightInd w:val="0"/>
        <w:ind w:firstLine="720"/>
        <w:jc w:val="both"/>
        <w:rPr>
          <w:rFonts w:ascii="Arial Narrow" w:hAnsi="Arial Narrow" w:cs="Arial"/>
        </w:rPr>
      </w:pPr>
    </w:p>
    <w:tbl>
      <w:tblPr>
        <w:tblW w:w="9800" w:type="dxa"/>
        <w:tblLook w:val="04A0" w:firstRow="1" w:lastRow="0" w:firstColumn="1" w:lastColumn="0" w:noHBand="0" w:noVBand="1"/>
      </w:tblPr>
      <w:tblGrid>
        <w:gridCol w:w="3397"/>
        <w:gridCol w:w="1403"/>
        <w:gridCol w:w="1360"/>
        <w:gridCol w:w="1120"/>
        <w:gridCol w:w="1460"/>
        <w:gridCol w:w="1060"/>
      </w:tblGrid>
      <w:tr w:rsidR="00C7337E" w:rsidRPr="00737ABA" w14:paraId="0AAE5034" w14:textId="77777777" w:rsidTr="00E55C62">
        <w:trPr>
          <w:trHeight w:val="24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DD7752"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lastRenderedPageBreak/>
              <w:t>Rādītājs</w:t>
            </w:r>
          </w:p>
        </w:tc>
        <w:tc>
          <w:tcPr>
            <w:tcW w:w="640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03775C8"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2022. gada 12 mēneši</w:t>
            </w:r>
          </w:p>
        </w:tc>
      </w:tr>
      <w:tr w:rsidR="00C7337E" w:rsidRPr="00737ABA" w14:paraId="2418C8F8" w14:textId="77777777" w:rsidTr="00E55C62">
        <w:trPr>
          <w:trHeight w:val="675"/>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5C47867F" w14:textId="77777777" w:rsidR="00C7337E" w:rsidRPr="00737ABA" w:rsidRDefault="00C7337E" w:rsidP="00E55C62">
            <w:pPr>
              <w:rPr>
                <w:rFonts w:ascii="Arial Narrow" w:hAnsi="Arial Narrow" w:cs="Arial"/>
                <w:sz w:val="20"/>
                <w:szCs w:val="20"/>
              </w:rPr>
            </w:pPr>
          </w:p>
        </w:tc>
        <w:tc>
          <w:tcPr>
            <w:tcW w:w="1403" w:type="dxa"/>
            <w:tcBorders>
              <w:top w:val="nil"/>
              <w:left w:val="nil"/>
              <w:bottom w:val="single" w:sz="4" w:space="0" w:color="auto"/>
              <w:right w:val="single" w:sz="4" w:space="0" w:color="auto"/>
            </w:tcBorders>
            <w:shd w:val="clear" w:color="auto" w:fill="auto"/>
            <w:vAlign w:val="center"/>
            <w:hideMark/>
          </w:tcPr>
          <w:p w14:paraId="3EFFAB66"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plāns, EUR</w:t>
            </w:r>
          </w:p>
        </w:tc>
        <w:tc>
          <w:tcPr>
            <w:tcW w:w="1360" w:type="dxa"/>
            <w:tcBorders>
              <w:top w:val="nil"/>
              <w:left w:val="nil"/>
              <w:bottom w:val="single" w:sz="4" w:space="0" w:color="auto"/>
              <w:right w:val="single" w:sz="4" w:space="0" w:color="auto"/>
            </w:tcBorders>
            <w:shd w:val="clear" w:color="auto" w:fill="auto"/>
            <w:vAlign w:val="center"/>
            <w:hideMark/>
          </w:tcPr>
          <w:p w14:paraId="715F4C28"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izpilde, EUR</w:t>
            </w:r>
          </w:p>
        </w:tc>
        <w:tc>
          <w:tcPr>
            <w:tcW w:w="1120" w:type="dxa"/>
            <w:tcBorders>
              <w:top w:val="nil"/>
              <w:left w:val="nil"/>
              <w:bottom w:val="single" w:sz="4" w:space="0" w:color="auto"/>
              <w:right w:val="single" w:sz="4" w:space="0" w:color="auto"/>
            </w:tcBorders>
            <w:shd w:val="clear" w:color="auto" w:fill="auto"/>
            <w:vAlign w:val="center"/>
            <w:hideMark/>
          </w:tcPr>
          <w:p w14:paraId="6FF98E25"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izdevumu struktūra, %</w:t>
            </w:r>
          </w:p>
        </w:tc>
        <w:tc>
          <w:tcPr>
            <w:tcW w:w="1460" w:type="dxa"/>
            <w:tcBorders>
              <w:top w:val="nil"/>
              <w:left w:val="nil"/>
              <w:bottom w:val="single" w:sz="4" w:space="0" w:color="auto"/>
              <w:right w:val="single" w:sz="4" w:space="0" w:color="auto"/>
            </w:tcBorders>
            <w:shd w:val="clear" w:color="auto" w:fill="auto"/>
            <w:vAlign w:val="center"/>
            <w:hideMark/>
          </w:tcPr>
          <w:p w14:paraId="53CF05C5"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 xml:space="preserve">plāna </w:t>
            </w:r>
            <w:proofErr w:type="spellStart"/>
            <w:r w:rsidRPr="00737ABA">
              <w:rPr>
                <w:rFonts w:ascii="Arial Narrow" w:hAnsi="Arial Narrow" w:cs="Arial"/>
                <w:sz w:val="20"/>
                <w:szCs w:val="20"/>
              </w:rPr>
              <w:t>izpilde,EUR</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481D38CC"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plāna izpilde, %</w:t>
            </w:r>
          </w:p>
        </w:tc>
      </w:tr>
      <w:tr w:rsidR="00C7337E" w:rsidRPr="00737ABA" w14:paraId="7E0A7F2F" w14:textId="77777777" w:rsidTr="00E55C62">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5E2AA48"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Kārtējie izdevumi</w:t>
            </w:r>
          </w:p>
        </w:tc>
        <w:tc>
          <w:tcPr>
            <w:tcW w:w="1403" w:type="dxa"/>
            <w:tcBorders>
              <w:top w:val="nil"/>
              <w:left w:val="nil"/>
              <w:bottom w:val="nil"/>
              <w:right w:val="single" w:sz="4" w:space="0" w:color="auto"/>
            </w:tcBorders>
            <w:shd w:val="clear" w:color="auto" w:fill="auto"/>
            <w:noWrap/>
            <w:vAlign w:val="bottom"/>
            <w:hideMark/>
          </w:tcPr>
          <w:p w14:paraId="43AB8457"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77 249 752</w:t>
            </w:r>
          </w:p>
        </w:tc>
        <w:tc>
          <w:tcPr>
            <w:tcW w:w="1360" w:type="dxa"/>
            <w:tcBorders>
              <w:top w:val="nil"/>
              <w:left w:val="nil"/>
              <w:bottom w:val="nil"/>
              <w:right w:val="single" w:sz="4" w:space="0" w:color="auto"/>
            </w:tcBorders>
            <w:shd w:val="clear" w:color="auto" w:fill="auto"/>
            <w:noWrap/>
            <w:vAlign w:val="bottom"/>
            <w:hideMark/>
          </w:tcPr>
          <w:p w14:paraId="2600E4EF"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66 438 875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B5B6AD0"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65.97</w:t>
            </w:r>
          </w:p>
        </w:tc>
        <w:tc>
          <w:tcPr>
            <w:tcW w:w="1460" w:type="dxa"/>
            <w:tcBorders>
              <w:top w:val="nil"/>
              <w:left w:val="nil"/>
              <w:bottom w:val="single" w:sz="4" w:space="0" w:color="auto"/>
              <w:right w:val="single" w:sz="4" w:space="0" w:color="auto"/>
            </w:tcBorders>
            <w:shd w:val="clear" w:color="auto" w:fill="auto"/>
            <w:noWrap/>
            <w:vAlign w:val="bottom"/>
            <w:hideMark/>
          </w:tcPr>
          <w:p w14:paraId="4D1D53B3"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-10 810 877</w:t>
            </w:r>
          </w:p>
        </w:tc>
        <w:tc>
          <w:tcPr>
            <w:tcW w:w="1060" w:type="dxa"/>
            <w:tcBorders>
              <w:top w:val="nil"/>
              <w:left w:val="nil"/>
              <w:bottom w:val="single" w:sz="4" w:space="0" w:color="auto"/>
              <w:right w:val="single" w:sz="4" w:space="0" w:color="auto"/>
            </w:tcBorders>
            <w:shd w:val="clear" w:color="auto" w:fill="auto"/>
            <w:noWrap/>
            <w:vAlign w:val="bottom"/>
            <w:hideMark/>
          </w:tcPr>
          <w:p w14:paraId="7920E552"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86</w:t>
            </w:r>
          </w:p>
        </w:tc>
      </w:tr>
      <w:tr w:rsidR="00C7337E" w:rsidRPr="00737ABA" w14:paraId="2BD72826" w14:textId="77777777" w:rsidTr="00E55C62">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3BE2CC6"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Subsīdijas un dotācijas</w:t>
            </w:r>
          </w:p>
        </w:tc>
        <w:tc>
          <w:tcPr>
            <w:tcW w:w="1403" w:type="dxa"/>
            <w:tcBorders>
              <w:top w:val="single" w:sz="4" w:space="0" w:color="auto"/>
              <w:left w:val="nil"/>
              <w:bottom w:val="nil"/>
              <w:right w:val="single" w:sz="4" w:space="0" w:color="auto"/>
            </w:tcBorders>
            <w:shd w:val="clear" w:color="auto" w:fill="auto"/>
            <w:noWrap/>
            <w:vAlign w:val="bottom"/>
            <w:hideMark/>
          </w:tcPr>
          <w:p w14:paraId="61C8AE20"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4 038 797</w:t>
            </w:r>
          </w:p>
        </w:tc>
        <w:tc>
          <w:tcPr>
            <w:tcW w:w="1360" w:type="dxa"/>
            <w:tcBorders>
              <w:top w:val="single" w:sz="4" w:space="0" w:color="auto"/>
              <w:left w:val="nil"/>
              <w:bottom w:val="nil"/>
              <w:right w:val="single" w:sz="4" w:space="0" w:color="auto"/>
            </w:tcBorders>
            <w:shd w:val="clear" w:color="auto" w:fill="auto"/>
            <w:noWrap/>
            <w:vAlign w:val="bottom"/>
            <w:hideMark/>
          </w:tcPr>
          <w:p w14:paraId="6ACCE7C0"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3 768 752</w:t>
            </w:r>
          </w:p>
        </w:tc>
        <w:tc>
          <w:tcPr>
            <w:tcW w:w="1120" w:type="dxa"/>
            <w:tcBorders>
              <w:top w:val="nil"/>
              <w:left w:val="nil"/>
              <w:bottom w:val="single" w:sz="4" w:space="0" w:color="auto"/>
              <w:right w:val="single" w:sz="4" w:space="0" w:color="auto"/>
            </w:tcBorders>
            <w:shd w:val="clear" w:color="auto" w:fill="auto"/>
            <w:noWrap/>
            <w:vAlign w:val="bottom"/>
            <w:hideMark/>
          </w:tcPr>
          <w:p w14:paraId="51E3A0B1"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3.74</w:t>
            </w:r>
          </w:p>
        </w:tc>
        <w:tc>
          <w:tcPr>
            <w:tcW w:w="1460" w:type="dxa"/>
            <w:tcBorders>
              <w:top w:val="nil"/>
              <w:left w:val="nil"/>
              <w:bottom w:val="single" w:sz="4" w:space="0" w:color="auto"/>
              <w:right w:val="single" w:sz="4" w:space="0" w:color="auto"/>
            </w:tcBorders>
            <w:shd w:val="clear" w:color="auto" w:fill="auto"/>
            <w:noWrap/>
            <w:vAlign w:val="bottom"/>
            <w:hideMark/>
          </w:tcPr>
          <w:p w14:paraId="24988E87"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-270 045</w:t>
            </w:r>
          </w:p>
        </w:tc>
        <w:tc>
          <w:tcPr>
            <w:tcW w:w="1060" w:type="dxa"/>
            <w:tcBorders>
              <w:top w:val="nil"/>
              <w:left w:val="nil"/>
              <w:bottom w:val="single" w:sz="4" w:space="0" w:color="auto"/>
              <w:right w:val="single" w:sz="4" w:space="0" w:color="auto"/>
            </w:tcBorders>
            <w:shd w:val="clear" w:color="auto" w:fill="auto"/>
            <w:noWrap/>
            <w:vAlign w:val="bottom"/>
            <w:hideMark/>
          </w:tcPr>
          <w:p w14:paraId="0BA09DE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93.3</w:t>
            </w:r>
          </w:p>
        </w:tc>
      </w:tr>
      <w:tr w:rsidR="00C7337E" w:rsidRPr="00737ABA" w14:paraId="24B078E7" w14:textId="77777777" w:rsidTr="00E55C62">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82C033B"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Procentu izdevumi</w:t>
            </w:r>
          </w:p>
        </w:tc>
        <w:tc>
          <w:tcPr>
            <w:tcW w:w="1403" w:type="dxa"/>
            <w:tcBorders>
              <w:top w:val="single" w:sz="4" w:space="0" w:color="auto"/>
              <w:left w:val="nil"/>
              <w:bottom w:val="nil"/>
              <w:right w:val="single" w:sz="4" w:space="0" w:color="auto"/>
            </w:tcBorders>
            <w:shd w:val="clear" w:color="auto" w:fill="auto"/>
            <w:noWrap/>
            <w:vAlign w:val="bottom"/>
            <w:hideMark/>
          </w:tcPr>
          <w:p w14:paraId="4B84EEEF"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153 086</w:t>
            </w:r>
          </w:p>
        </w:tc>
        <w:tc>
          <w:tcPr>
            <w:tcW w:w="1360" w:type="dxa"/>
            <w:tcBorders>
              <w:top w:val="single" w:sz="4" w:space="0" w:color="auto"/>
              <w:left w:val="nil"/>
              <w:bottom w:val="nil"/>
              <w:right w:val="single" w:sz="4" w:space="0" w:color="auto"/>
            </w:tcBorders>
            <w:shd w:val="clear" w:color="auto" w:fill="auto"/>
            <w:noWrap/>
            <w:vAlign w:val="bottom"/>
            <w:hideMark/>
          </w:tcPr>
          <w:p w14:paraId="45CF3472"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153 086</w:t>
            </w:r>
          </w:p>
        </w:tc>
        <w:tc>
          <w:tcPr>
            <w:tcW w:w="1120" w:type="dxa"/>
            <w:tcBorders>
              <w:top w:val="nil"/>
              <w:left w:val="nil"/>
              <w:bottom w:val="single" w:sz="4" w:space="0" w:color="auto"/>
              <w:right w:val="single" w:sz="4" w:space="0" w:color="auto"/>
            </w:tcBorders>
            <w:shd w:val="clear" w:color="auto" w:fill="auto"/>
            <w:noWrap/>
            <w:vAlign w:val="bottom"/>
            <w:hideMark/>
          </w:tcPr>
          <w:p w14:paraId="391BC94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0.15</w:t>
            </w:r>
          </w:p>
        </w:tc>
        <w:tc>
          <w:tcPr>
            <w:tcW w:w="1460" w:type="dxa"/>
            <w:tcBorders>
              <w:top w:val="nil"/>
              <w:left w:val="nil"/>
              <w:bottom w:val="single" w:sz="4" w:space="0" w:color="auto"/>
              <w:right w:val="single" w:sz="4" w:space="0" w:color="auto"/>
            </w:tcBorders>
            <w:shd w:val="clear" w:color="auto" w:fill="auto"/>
            <w:noWrap/>
            <w:vAlign w:val="bottom"/>
            <w:hideMark/>
          </w:tcPr>
          <w:p w14:paraId="7A05E77B"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F8E6473"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100</w:t>
            </w:r>
          </w:p>
        </w:tc>
      </w:tr>
      <w:tr w:rsidR="00C7337E" w:rsidRPr="00737ABA" w14:paraId="28C4CFB9" w14:textId="77777777" w:rsidTr="00E55C62">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11B09B1"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Pamatkapitāla veidošana</w:t>
            </w:r>
          </w:p>
        </w:tc>
        <w:tc>
          <w:tcPr>
            <w:tcW w:w="1403" w:type="dxa"/>
            <w:tcBorders>
              <w:top w:val="single" w:sz="4" w:space="0" w:color="auto"/>
              <w:left w:val="nil"/>
              <w:bottom w:val="nil"/>
              <w:right w:val="single" w:sz="4" w:space="0" w:color="auto"/>
            </w:tcBorders>
            <w:shd w:val="clear" w:color="auto" w:fill="auto"/>
            <w:noWrap/>
            <w:vAlign w:val="bottom"/>
            <w:hideMark/>
          </w:tcPr>
          <w:p w14:paraId="254F81A0"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30 264 027</w:t>
            </w:r>
          </w:p>
        </w:tc>
        <w:tc>
          <w:tcPr>
            <w:tcW w:w="1360" w:type="dxa"/>
            <w:tcBorders>
              <w:top w:val="single" w:sz="4" w:space="0" w:color="auto"/>
              <w:left w:val="nil"/>
              <w:bottom w:val="nil"/>
              <w:right w:val="single" w:sz="4" w:space="0" w:color="auto"/>
            </w:tcBorders>
            <w:shd w:val="clear" w:color="auto" w:fill="auto"/>
            <w:noWrap/>
            <w:vAlign w:val="bottom"/>
            <w:hideMark/>
          </w:tcPr>
          <w:p w14:paraId="762CA50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25 184 255</w:t>
            </w:r>
          </w:p>
        </w:tc>
        <w:tc>
          <w:tcPr>
            <w:tcW w:w="1120" w:type="dxa"/>
            <w:tcBorders>
              <w:top w:val="nil"/>
              <w:left w:val="nil"/>
              <w:bottom w:val="single" w:sz="4" w:space="0" w:color="auto"/>
              <w:right w:val="single" w:sz="4" w:space="0" w:color="auto"/>
            </w:tcBorders>
            <w:shd w:val="clear" w:color="auto" w:fill="auto"/>
            <w:noWrap/>
            <w:vAlign w:val="bottom"/>
            <w:hideMark/>
          </w:tcPr>
          <w:p w14:paraId="29C4B9F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25.01</w:t>
            </w:r>
          </w:p>
        </w:tc>
        <w:tc>
          <w:tcPr>
            <w:tcW w:w="1460" w:type="dxa"/>
            <w:tcBorders>
              <w:top w:val="nil"/>
              <w:left w:val="nil"/>
              <w:bottom w:val="single" w:sz="4" w:space="0" w:color="auto"/>
              <w:right w:val="single" w:sz="4" w:space="0" w:color="auto"/>
            </w:tcBorders>
            <w:shd w:val="clear" w:color="auto" w:fill="auto"/>
            <w:noWrap/>
            <w:vAlign w:val="bottom"/>
            <w:hideMark/>
          </w:tcPr>
          <w:p w14:paraId="7B1F1543"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-5 079 772</w:t>
            </w:r>
          </w:p>
        </w:tc>
        <w:tc>
          <w:tcPr>
            <w:tcW w:w="1060" w:type="dxa"/>
            <w:tcBorders>
              <w:top w:val="nil"/>
              <w:left w:val="nil"/>
              <w:bottom w:val="single" w:sz="4" w:space="0" w:color="auto"/>
              <w:right w:val="single" w:sz="4" w:space="0" w:color="auto"/>
            </w:tcBorders>
            <w:shd w:val="clear" w:color="auto" w:fill="auto"/>
            <w:noWrap/>
            <w:vAlign w:val="bottom"/>
            <w:hideMark/>
          </w:tcPr>
          <w:p w14:paraId="727FB80D"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83.2</w:t>
            </w:r>
          </w:p>
        </w:tc>
      </w:tr>
      <w:tr w:rsidR="00C7337E" w:rsidRPr="00737ABA" w14:paraId="1733F115" w14:textId="77777777" w:rsidTr="00E55C62">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161AF92"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Sociālie pabalsti</w:t>
            </w:r>
          </w:p>
        </w:tc>
        <w:tc>
          <w:tcPr>
            <w:tcW w:w="1403" w:type="dxa"/>
            <w:tcBorders>
              <w:top w:val="single" w:sz="4" w:space="0" w:color="auto"/>
              <w:left w:val="nil"/>
              <w:bottom w:val="nil"/>
              <w:right w:val="single" w:sz="4" w:space="0" w:color="auto"/>
            </w:tcBorders>
            <w:shd w:val="clear" w:color="auto" w:fill="auto"/>
            <w:noWrap/>
            <w:vAlign w:val="bottom"/>
            <w:hideMark/>
          </w:tcPr>
          <w:p w14:paraId="3B9932D4"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5 241 097</w:t>
            </w:r>
          </w:p>
        </w:tc>
        <w:tc>
          <w:tcPr>
            <w:tcW w:w="1360" w:type="dxa"/>
            <w:tcBorders>
              <w:top w:val="single" w:sz="4" w:space="0" w:color="auto"/>
              <w:left w:val="nil"/>
              <w:bottom w:val="nil"/>
              <w:right w:val="single" w:sz="4" w:space="0" w:color="auto"/>
            </w:tcBorders>
            <w:shd w:val="clear" w:color="auto" w:fill="auto"/>
            <w:noWrap/>
            <w:vAlign w:val="bottom"/>
            <w:hideMark/>
          </w:tcPr>
          <w:p w14:paraId="7F3FD11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4 340 337</w:t>
            </w:r>
          </w:p>
        </w:tc>
        <w:tc>
          <w:tcPr>
            <w:tcW w:w="1120" w:type="dxa"/>
            <w:tcBorders>
              <w:top w:val="nil"/>
              <w:left w:val="nil"/>
              <w:bottom w:val="single" w:sz="4" w:space="0" w:color="auto"/>
              <w:right w:val="single" w:sz="4" w:space="0" w:color="auto"/>
            </w:tcBorders>
            <w:shd w:val="clear" w:color="auto" w:fill="auto"/>
            <w:noWrap/>
            <w:vAlign w:val="bottom"/>
            <w:hideMark/>
          </w:tcPr>
          <w:p w14:paraId="4E457D01"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4.31</w:t>
            </w:r>
          </w:p>
        </w:tc>
        <w:tc>
          <w:tcPr>
            <w:tcW w:w="1460" w:type="dxa"/>
            <w:tcBorders>
              <w:top w:val="nil"/>
              <w:left w:val="nil"/>
              <w:bottom w:val="single" w:sz="4" w:space="0" w:color="auto"/>
              <w:right w:val="single" w:sz="4" w:space="0" w:color="auto"/>
            </w:tcBorders>
            <w:shd w:val="clear" w:color="auto" w:fill="auto"/>
            <w:noWrap/>
            <w:vAlign w:val="bottom"/>
            <w:hideMark/>
          </w:tcPr>
          <w:p w14:paraId="5AD96FCB"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-900 760</w:t>
            </w:r>
          </w:p>
        </w:tc>
        <w:tc>
          <w:tcPr>
            <w:tcW w:w="1060" w:type="dxa"/>
            <w:tcBorders>
              <w:top w:val="nil"/>
              <w:left w:val="nil"/>
              <w:bottom w:val="single" w:sz="4" w:space="0" w:color="auto"/>
              <w:right w:val="single" w:sz="4" w:space="0" w:color="auto"/>
            </w:tcBorders>
            <w:shd w:val="clear" w:color="auto" w:fill="auto"/>
            <w:noWrap/>
            <w:vAlign w:val="bottom"/>
            <w:hideMark/>
          </w:tcPr>
          <w:p w14:paraId="62A2B62E"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82.8</w:t>
            </w:r>
          </w:p>
        </w:tc>
      </w:tr>
      <w:tr w:rsidR="00C7337E" w:rsidRPr="00737ABA" w14:paraId="7487DCE6" w14:textId="77777777" w:rsidTr="00E55C62">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EB47B76"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 xml:space="preserve">Uzturēšanas izdevumu </w:t>
            </w:r>
            <w:proofErr w:type="spellStart"/>
            <w:r w:rsidRPr="00737ABA">
              <w:rPr>
                <w:rFonts w:ascii="Arial Narrow" w:hAnsi="Arial Narrow" w:cs="Arial"/>
                <w:sz w:val="20"/>
                <w:szCs w:val="20"/>
              </w:rPr>
              <w:t>transferti</w:t>
            </w:r>
            <w:proofErr w:type="spellEnd"/>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2CF126A0"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1 102 090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6389E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826 452</w:t>
            </w:r>
          </w:p>
        </w:tc>
        <w:tc>
          <w:tcPr>
            <w:tcW w:w="1120" w:type="dxa"/>
            <w:tcBorders>
              <w:top w:val="nil"/>
              <w:left w:val="nil"/>
              <w:bottom w:val="single" w:sz="4" w:space="0" w:color="auto"/>
              <w:right w:val="single" w:sz="4" w:space="0" w:color="auto"/>
            </w:tcBorders>
            <w:shd w:val="clear" w:color="auto" w:fill="auto"/>
            <w:noWrap/>
            <w:vAlign w:val="bottom"/>
            <w:hideMark/>
          </w:tcPr>
          <w:p w14:paraId="17AE9BEB"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0.82</w:t>
            </w:r>
          </w:p>
        </w:tc>
        <w:tc>
          <w:tcPr>
            <w:tcW w:w="1460" w:type="dxa"/>
            <w:tcBorders>
              <w:top w:val="nil"/>
              <w:left w:val="nil"/>
              <w:bottom w:val="single" w:sz="4" w:space="0" w:color="auto"/>
              <w:right w:val="single" w:sz="4" w:space="0" w:color="auto"/>
            </w:tcBorders>
            <w:shd w:val="clear" w:color="auto" w:fill="auto"/>
            <w:noWrap/>
            <w:vAlign w:val="bottom"/>
            <w:hideMark/>
          </w:tcPr>
          <w:p w14:paraId="20A04BE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-275 638</w:t>
            </w:r>
          </w:p>
        </w:tc>
        <w:tc>
          <w:tcPr>
            <w:tcW w:w="1060" w:type="dxa"/>
            <w:tcBorders>
              <w:top w:val="nil"/>
              <w:left w:val="nil"/>
              <w:bottom w:val="single" w:sz="4" w:space="0" w:color="auto"/>
              <w:right w:val="single" w:sz="4" w:space="0" w:color="auto"/>
            </w:tcBorders>
            <w:shd w:val="clear" w:color="auto" w:fill="auto"/>
            <w:noWrap/>
            <w:vAlign w:val="bottom"/>
            <w:hideMark/>
          </w:tcPr>
          <w:p w14:paraId="408CCC56"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75</w:t>
            </w:r>
          </w:p>
        </w:tc>
      </w:tr>
      <w:tr w:rsidR="00C7337E" w:rsidRPr="00737ABA" w14:paraId="79182D1C" w14:textId="77777777" w:rsidTr="00E55C62">
        <w:trPr>
          <w:trHeight w:val="25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265B5"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 KOPĀ:</w:t>
            </w:r>
          </w:p>
        </w:tc>
        <w:tc>
          <w:tcPr>
            <w:tcW w:w="1403" w:type="dxa"/>
            <w:tcBorders>
              <w:top w:val="single" w:sz="4" w:space="0" w:color="auto"/>
              <w:left w:val="nil"/>
              <w:bottom w:val="single" w:sz="4" w:space="0" w:color="auto"/>
              <w:right w:val="single" w:sz="4" w:space="0" w:color="auto"/>
            </w:tcBorders>
            <w:shd w:val="clear" w:color="000000" w:fill="FABF8F"/>
            <w:noWrap/>
            <w:vAlign w:val="center"/>
            <w:hideMark/>
          </w:tcPr>
          <w:p w14:paraId="777497DC"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118 048 849</w:t>
            </w:r>
          </w:p>
        </w:tc>
        <w:tc>
          <w:tcPr>
            <w:tcW w:w="1360" w:type="dxa"/>
            <w:tcBorders>
              <w:top w:val="single" w:sz="4" w:space="0" w:color="auto"/>
              <w:left w:val="nil"/>
              <w:bottom w:val="single" w:sz="4" w:space="0" w:color="auto"/>
              <w:right w:val="single" w:sz="4" w:space="0" w:color="auto"/>
            </w:tcBorders>
            <w:shd w:val="clear" w:color="000000" w:fill="FABF8F"/>
            <w:noWrap/>
            <w:vAlign w:val="center"/>
            <w:hideMark/>
          </w:tcPr>
          <w:p w14:paraId="4EF2BB39"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100 711 757</w:t>
            </w:r>
          </w:p>
        </w:tc>
        <w:tc>
          <w:tcPr>
            <w:tcW w:w="1120" w:type="dxa"/>
            <w:tcBorders>
              <w:top w:val="single" w:sz="4" w:space="0" w:color="auto"/>
              <w:left w:val="nil"/>
              <w:bottom w:val="single" w:sz="4" w:space="0" w:color="auto"/>
              <w:right w:val="single" w:sz="4" w:space="0" w:color="auto"/>
            </w:tcBorders>
            <w:shd w:val="clear" w:color="000000" w:fill="FABF8F"/>
            <w:noWrap/>
            <w:vAlign w:val="center"/>
            <w:hideMark/>
          </w:tcPr>
          <w:p w14:paraId="51054D8D"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100</w:t>
            </w:r>
          </w:p>
        </w:tc>
        <w:tc>
          <w:tcPr>
            <w:tcW w:w="1460" w:type="dxa"/>
            <w:tcBorders>
              <w:top w:val="single" w:sz="4" w:space="0" w:color="auto"/>
              <w:left w:val="nil"/>
              <w:bottom w:val="single" w:sz="4" w:space="0" w:color="auto"/>
              <w:right w:val="single" w:sz="4" w:space="0" w:color="auto"/>
            </w:tcBorders>
            <w:shd w:val="clear" w:color="000000" w:fill="FABF8F"/>
            <w:noWrap/>
            <w:vAlign w:val="center"/>
            <w:hideMark/>
          </w:tcPr>
          <w:p w14:paraId="537CFDE0"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-17 337 092</w:t>
            </w:r>
          </w:p>
        </w:tc>
        <w:tc>
          <w:tcPr>
            <w:tcW w:w="1060" w:type="dxa"/>
            <w:tcBorders>
              <w:top w:val="single" w:sz="4" w:space="0" w:color="auto"/>
              <w:left w:val="nil"/>
              <w:bottom w:val="single" w:sz="4" w:space="0" w:color="auto"/>
              <w:right w:val="single" w:sz="4" w:space="0" w:color="auto"/>
            </w:tcBorders>
            <w:shd w:val="clear" w:color="000000" w:fill="FABF8F"/>
            <w:noWrap/>
            <w:vAlign w:val="center"/>
            <w:hideMark/>
          </w:tcPr>
          <w:p w14:paraId="7D246A8A" w14:textId="77777777" w:rsidR="00C7337E" w:rsidRPr="00737ABA" w:rsidRDefault="00C7337E" w:rsidP="00E55C62">
            <w:pPr>
              <w:jc w:val="right"/>
              <w:rPr>
                <w:rFonts w:ascii="Arial Narrow" w:hAnsi="Arial Narrow" w:cs="Arial"/>
                <w:b/>
                <w:bCs/>
                <w:sz w:val="20"/>
                <w:szCs w:val="20"/>
              </w:rPr>
            </w:pPr>
            <w:r w:rsidRPr="00737ABA">
              <w:rPr>
                <w:rFonts w:ascii="Arial Narrow" w:hAnsi="Arial Narrow" w:cs="Arial"/>
                <w:b/>
                <w:bCs/>
                <w:sz w:val="20"/>
                <w:szCs w:val="20"/>
              </w:rPr>
              <w:t>85.3</w:t>
            </w:r>
          </w:p>
        </w:tc>
      </w:tr>
    </w:tbl>
    <w:p w14:paraId="7DD8352C" w14:textId="77777777" w:rsidR="00C7337E" w:rsidRPr="00737ABA" w:rsidRDefault="00C7337E" w:rsidP="00C7337E">
      <w:pPr>
        <w:spacing w:after="120"/>
        <w:ind w:left="1440" w:firstLine="720"/>
        <w:jc w:val="both"/>
        <w:rPr>
          <w:rFonts w:ascii="Arial Narrow" w:hAnsi="Arial Narrow" w:cs="Arial"/>
          <w:sz w:val="20"/>
          <w:szCs w:val="20"/>
        </w:rPr>
      </w:pPr>
      <w:r w:rsidRPr="00737ABA">
        <w:rPr>
          <w:rFonts w:ascii="Arial Narrow" w:hAnsi="Arial Narrow" w:cs="Arial"/>
          <w:i/>
          <w:sz w:val="20"/>
          <w:szCs w:val="20"/>
        </w:rPr>
        <w:t xml:space="preserve">Tabula Nr. 1.2.1. </w:t>
      </w:r>
      <w:r w:rsidRPr="00737ABA">
        <w:rPr>
          <w:rFonts w:ascii="Arial Narrow" w:hAnsi="Arial Narrow" w:cs="Arial"/>
          <w:sz w:val="20"/>
          <w:szCs w:val="20"/>
        </w:rPr>
        <w:t>Pamatbudžeta izdevumu klasifikācijas plāns un izpilde 2022. gadam</w:t>
      </w:r>
    </w:p>
    <w:p w14:paraId="6A7CC46E" w14:textId="77777777" w:rsidR="00C7337E" w:rsidRPr="00737ABA" w:rsidRDefault="00C7337E" w:rsidP="00C7337E">
      <w:pPr>
        <w:autoSpaceDE w:val="0"/>
        <w:autoSpaceDN w:val="0"/>
        <w:adjustRightInd w:val="0"/>
        <w:ind w:firstLine="720"/>
        <w:jc w:val="both"/>
        <w:rPr>
          <w:rFonts w:ascii="Arial Narrow" w:hAnsi="Arial Narrow" w:cs="Arial"/>
        </w:rPr>
      </w:pPr>
    </w:p>
    <w:p w14:paraId="4F889C15"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Ilgtermiņa investīcijām, t.i. ēku un būvju pārbūvei, kā arī pamatlīdzekļu iegādei no sākotnēji paredzētajiem 30,3 miljoniem </w:t>
      </w:r>
      <w:r w:rsidRPr="00737ABA">
        <w:rPr>
          <w:rFonts w:ascii="Arial Narrow" w:hAnsi="Arial Narrow" w:cs="Arial"/>
          <w:i/>
          <w:sz w:val="22"/>
          <w:szCs w:val="22"/>
        </w:rPr>
        <w:t xml:space="preserve">euro </w:t>
      </w:r>
      <w:r w:rsidRPr="00737ABA">
        <w:rPr>
          <w:rFonts w:ascii="Arial Narrow" w:hAnsi="Arial Narrow" w:cs="Arial"/>
          <w:sz w:val="22"/>
          <w:szCs w:val="22"/>
        </w:rPr>
        <w:t xml:space="preserve">(25% no kopējiem plānotajiem izdevumiem) apgūti 25,2 miljoni </w:t>
      </w:r>
      <w:r w:rsidRPr="00737ABA">
        <w:rPr>
          <w:rFonts w:ascii="Arial Narrow" w:hAnsi="Arial Narrow" w:cs="Arial"/>
          <w:i/>
          <w:sz w:val="22"/>
          <w:szCs w:val="22"/>
        </w:rPr>
        <w:t>euro</w:t>
      </w:r>
      <w:r w:rsidRPr="00737ABA">
        <w:rPr>
          <w:rFonts w:ascii="Arial Narrow" w:hAnsi="Arial Narrow" w:cs="Arial"/>
          <w:sz w:val="22"/>
          <w:szCs w:val="22"/>
        </w:rPr>
        <w:t xml:space="preserve">. </w:t>
      </w:r>
    </w:p>
    <w:p w14:paraId="46D8AF97" w14:textId="77777777" w:rsidR="00C7337E" w:rsidRPr="00737ABA" w:rsidRDefault="00C7337E" w:rsidP="00C7337E">
      <w:pPr>
        <w:autoSpaceDE w:val="0"/>
        <w:autoSpaceDN w:val="0"/>
        <w:adjustRightInd w:val="0"/>
        <w:ind w:firstLine="720"/>
        <w:jc w:val="both"/>
        <w:rPr>
          <w:rFonts w:ascii="Arial Narrow" w:hAnsi="Arial Narrow" w:cs="Arial"/>
          <w:sz w:val="22"/>
          <w:szCs w:val="22"/>
        </w:rPr>
      </w:pPr>
      <w:r w:rsidRPr="00737ABA">
        <w:rPr>
          <w:rFonts w:ascii="Arial Narrow" w:hAnsi="Arial Narrow" w:cs="Arial"/>
          <w:sz w:val="22"/>
          <w:szCs w:val="22"/>
        </w:rPr>
        <w:t xml:space="preserve">Visi Pašvaldības izdevumi pēc savas ekonomiskās būtības iedalīti deviņās (no valsts budžeta uzskaitē apstiprinātajām desmit) funkcionālajās kategorijās. </w:t>
      </w:r>
    </w:p>
    <w:p w14:paraId="01D50528" w14:textId="77777777"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sz w:val="22"/>
          <w:szCs w:val="22"/>
        </w:rPr>
        <w:t xml:space="preserve">Lielākais izdevumu īpatsvars ir izglītībai, tas sastāda 50,5 miljonus </w:t>
      </w:r>
      <w:r w:rsidRPr="00737ABA">
        <w:rPr>
          <w:rFonts w:ascii="Arial Narrow" w:hAnsi="Arial Narrow" w:cs="Arial"/>
          <w:i/>
          <w:sz w:val="22"/>
          <w:szCs w:val="22"/>
        </w:rPr>
        <w:t>euro</w:t>
      </w:r>
      <w:r w:rsidRPr="00737ABA">
        <w:rPr>
          <w:rFonts w:ascii="Arial Narrow" w:hAnsi="Arial Narrow" w:cs="Arial"/>
          <w:sz w:val="22"/>
          <w:szCs w:val="22"/>
        </w:rPr>
        <w:t xml:space="preserve"> jeb 50,2 procentus no kopējiem izdevumiem. 21,7 miljoni </w:t>
      </w:r>
      <w:r w:rsidRPr="00737ABA">
        <w:rPr>
          <w:rFonts w:ascii="Arial Narrow" w:hAnsi="Arial Narrow" w:cs="Arial"/>
          <w:i/>
          <w:iCs/>
          <w:sz w:val="22"/>
          <w:szCs w:val="22"/>
        </w:rPr>
        <w:t>euro</w:t>
      </w:r>
      <w:r w:rsidRPr="00737ABA">
        <w:rPr>
          <w:rFonts w:ascii="Arial Narrow" w:hAnsi="Arial Narrow" w:cs="Arial"/>
          <w:sz w:val="22"/>
          <w:szCs w:val="22"/>
        </w:rPr>
        <w:t xml:space="preserve"> kopumā jeb 21,6 procenti izlietoti ekonomiskajai darbībai, vides aizsardzībai un pašvaldību teritoriju un mājokļu apsaimniekošanai. 10,8  miljoni </w:t>
      </w:r>
      <w:r w:rsidRPr="00737ABA">
        <w:rPr>
          <w:rFonts w:ascii="Arial Narrow" w:hAnsi="Arial Narrow" w:cs="Arial"/>
          <w:i/>
          <w:sz w:val="22"/>
          <w:szCs w:val="22"/>
        </w:rPr>
        <w:t>euro</w:t>
      </w:r>
      <w:r w:rsidRPr="00737ABA">
        <w:rPr>
          <w:rFonts w:ascii="Arial Narrow" w:hAnsi="Arial Narrow" w:cs="Arial"/>
          <w:sz w:val="22"/>
          <w:szCs w:val="22"/>
        </w:rPr>
        <w:t xml:space="preserve"> jeb 10,7 procenti izlietoti atpūtai (tajā skaitā sports), kultūrai un reliģijai. Sociālās aizsardzības izdevumi 2022. gadā bija 11,2 miljoni </w:t>
      </w:r>
      <w:r w:rsidRPr="00737ABA">
        <w:rPr>
          <w:rFonts w:ascii="Arial Narrow" w:hAnsi="Arial Narrow" w:cs="Arial"/>
          <w:i/>
          <w:sz w:val="22"/>
          <w:szCs w:val="22"/>
        </w:rPr>
        <w:t>euro</w:t>
      </w:r>
      <w:r w:rsidRPr="00737ABA">
        <w:rPr>
          <w:rFonts w:ascii="Arial Narrow" w:hAnsi="Arial Narrow" w:cs="Arial"/>
          <w:sz w:val="22"/>
          <w:szCs w:val="22"/>
        </w:rPr>
        <w:t xml:space="preserve"> jeb 11,1 procents no pašvaldības izdevumiem. </w:t>
      </w:r>
    </w:p>
    <w:p w14:paraId="26B1E065" w14:textId="77777777" w:rsidR="00737ABA" w:rsidRDefault="00737ABA" w:rsidP="00355A20">
      <w:pPr>
        <w:jc w:val="both"/>
        <w:rPr>
          <w:rFonts w:ascii="Arial Narrow" w:hAnsi="Arial Narrow" w:cs="Arial"/>
          <w:sz w:val="22"/>
          <w:szCs w:val="22"/>
        </w:rPr>
      </w:pPr>
    </w:p>
    <w:p w14:paraId="0099E14C" w14:textId="77777777" w:rsidR="00355A20" w:rsidRPr="00355A20" w:rsidRDefault="00355A20" w:rsidP="00355A20">
      <w:pPr>
        <w:ind w:firstLine="720"/>
        <w:jc w:val="center"/>
        <w:rPr>
          <w:rFonts w:ascii="Arial Narrow" w:hAnsi="Arial Narrow" w:cs="Arial"/>
          <w:b/>
        </w:rPr>
      </w:pPr>
      <w:r w:rsidRPr="00355A20">
        <w:rPr>
          <w:rFonts w:ascii="Arial Narrow" w:hAnsi="Arial Narrow" w:cs="Arial"/>
          <w:b/>
        </w:rPr>
        <w:t>Pašvaldības izdevumu pēc ekonomiskajās klasifikācijas 2022.gadā (%)</w:t>
      </w:r>
    </w:p>
    <w:p w14:paraId="6C9D8307" w14:textId="77777777" w:rsidR="00737ABA" w:rsidRDefault="00737ABA" w:rsidP="00C7337E">
      <w:pPr>
        <w:ind w:firstLine="720"/>
        <w:jc w:val="both"/>
        <w:rPr>
          <w:rFonts w:ascii="Arial Narrow" w:hAnsi="Arial Narrow" w:cs="Arial"/>
          <w:sz w:val="22"/>
          <w:szCs w:val="22"/>
        </w:rPr>
      </w:pPr>
    </w:p>
    <w:p w14:paraId="27AB901A" w14:textId="10FA47B4" w:rsidR="00C7337E" w:rsidRPr="00737ABA" w:rsidRDefault="00C7337E" w:rsidP="00C7337E">
      <w:pPr>
        <w:ind w:firstLine="720"/>
        <w:jc w:val="both"/>
        <w:rPr>
          <w:rFonts w:ascii="Arial Narrow" w:hAnsi="Arial Narrow" w:cs="Arial"/>
          <w:sz w:val="22"/>
          <w:szCs w:val="22"/>
        </w:rPr>
      </w:pPr>
      <w:r w:rsidRPr="00737ABA">
        <w:rPr>
          <w:rFonts w:ascii="Arial Narrow" w:hAnsi="Arial Narrow"/>
          <w:noProof/>
        </w:rPr>
        <w:drawing>
          <wp:inline distT="0" distB="0" distL="0" distR="0" wp14:anchorId="004BCEF3" wp14:editId="774EE956">
            <wp:extent cx="6035040" cy="3893820"/>
            <wp:effectExtent l="0" t="0" r="3810" b="11430"/>
            <wp:docPr id="148664112" name="Chart 1">
              <a:extLst xmlns:a="http://schemas.openxmlformats.org/drawingml/2006/main">
                <a:ext uri="{FF2B5EF4-FFF2-40B4-BE49-F238E27FC236}">
                  <a16:creationId xmlns:a16="http://schemas.microsoft.com/office/drawing/2014/main" id="{CEB4A510-618A-E040-0160-6330DC474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D9AB40" w14:textId="48AEBF92" w:rsidR="00C7337E" w:rsidRPr="00737ABA" w:rsidRDefault="00C7337E" w:rsidP="00737ABA">
      <w:pPr>
        <w:spacing w:after="120"/>
        <w:jc w:val="center"/>
        <w:rPr>
          <w:rFonts w:ascii="Arial Narrow" w:hAnsi="Arial Narrow" w:cs="Arial"/>
          <w:sz w:val="20"/>
          <w:szCs w:val="20"/>
        </w:rPr>
      </w:pPr>
      <w:r w:rsidRPr="00737ABA">
        <w:rPr>
          <w:rFonts w:ascii="Arial Narrow" w:hAnsi="Arial Narrow" w:cs="Arial"/>
          <w:i/>
          <w:sz w:val="20"/>
          <w:szCs w:val="20"/>
        </w:rPr>
        <w:t xml:space="preserve">Attēls Nr. 1.2.1. </w:t>
      </w:r>
      <w:r w:rsidRPr="00737ABA">
        <w:rPr>
          <w:rFonts w:ascii="Arial Narrow" w:hAnsi="Arial Narrow" w:cs="Arial"/>
          <w:sz w:val="20"/>
          <w:szCs w:val="20"/>
        </w:rPr>
        <w:t>Pamatbudžeta izdevumu klasifikācijas izpilde 2022. gadam</w:t>
      </w:r>
      <w:r w:rsidR="007B0CC7">
        <w:rPr>
          <w:rFonts w:ascii="Arial Narrow" w:hAnsi="Arial Narrow" w:cs="Arial"/>
          <w:sz w:val="20"/>
          <w:szCs w:val="20"/>
        </w:rPr>
        <w:t xml:space="preserve"> (%)</w:t>
      </w:r>
    </w:p>
    <w:p w14:paraId="7BC7CACD" w14:textId="77777777" w:rsidR="001D652D" w:rsidRDefault="001D652D" w:rsidP="00C7337E">
      <w:pPr>
        <w:ind w:firstLine="720"/>
        <w:jc w:val="both"/>
        <w:rPr>
          <w:rFonts w:ascii="Arial Narrow" w:hAnsi="Arial Narrow" w:cs="Arial"/>
          <w:iCs/>
          <w:sz w:val="20"/>
          <w:szCs w:val="20"/>
        </w:rPr>
      </w:pPr>
    </w:p>
    <w:p w14:paraId="0F829B46" w14:textId="402D08EB" w:rsidR="00C7337E" w:rsidRPr="00737ABA" w:rsidRDefault="00C7337E" w:rsidP="00C7337E">
      <w:pPr>
        <w:ind w:firstLine="720"/>
        <w:jc w:val="both"/>
        <w:rPr>
          <w:rFonts w:ascii="Arial Narrow" w:hAnsi="Arial Narrow" w:cs="Arial"/>
          <w:sz w:val="22"/>
          <w:szCs w:val="22"/>
        </w:rPr>
      </w:pPr>
      <w:r w:rsidRPr="00737ABA">
        <w:rPr>
          <w:rFonts w:ascii="Arial Narrow" w:hAnsi="Arial Narrow" w:cs="Arial"/>
          <w:iCs/>
          <w:sz w:val="20"/>
          <w:szCs w:val="20"/>
        </w:rPr>
        <w:t>Tabula Nr. 1.2.2.  attēloti pamatbudžeta</w:t>
      </w:r>
      <w:r w:rsidRPr="00737ABA">
        <w:rPr>
          <w:rFonts w:ascii="Arial Narrow" w:hAnsi="Arial Narrow" w:cs="Arial"/>
          <w:sz w:val="20"/>
          <w:szCs w:val="20"/>
        </w:rPr>
        <w:t xml:space="preserve"> izdevumi sadalījumā pa valdības funkcijām.</w:t>
      </w:r>
    </w:p>
    <w:tbl>
      <w:tblPr>
        <w:tblW w:w="9160" w:type="dxa"/>
        <w:tblLook w:val="04A0" w:firstRow="1" w:lastRow="0" w:firstColumn="1" w:lastColumn="0" w:noHBand="0" w:noVBand="1"/>
      </w:tblPr>
      <w:tblGrid>
        <w:gridCol w:w="940"/>
        <w:gridCol w:w="2480"/>
        <w:gridCol w:w="1320"/>
        <w:gridCol w:w="1360"/>
        <w:gridCol w:w="1000"/>
        <w:gridCol w:w="1240"/>
        <w:gridCol w:w="820"/>
      </w:tblGrid>
      <w:tr w:rsidR="00C7337E" w:rsidRPr="00737ABA" w14:paraId="47A49B89" w14:textId="77777777" w:rsidTr="00E55C62">
        <w:trPr>
          <w:trHeight w:val="264"/>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B800F" w14:textId="77777777" w:rsidR="00C7337E" w:rsidRPr="00737ABA" w:rsidRDefault="00C7337E" w:rsidP="00E55C62">
            <w:pPr>
              <w:jc w:val="center"/>
              <w:rPr>
                <w:rFonts w:ascii="Arial Narrow" w:hAnsi="Arial Narrow" w:cs="Arial"/>
                <w:sz w:val="20"/>
                <w:szCs w:val="20"/>
              </w:rPr>
            </w:pPr>
            <w:proofErr w:type="spellStart"/>
            <w:r w:rsidRPr="00737ABA">
              <w:rPr>
                <w:rFonts w:ascii="Arial Narrow" w:hAnsi="Arial Narrow" w:cs="Arial"/>
                <w:sz w:val="20"/>
                <w:szCs w:val="20"/>
              </w:rPr>
              <w:t>Klasifikā-cijas</w:t>
            </w:r>
            <w:proofErr w:type="spellEnd"/>
            <w:r w:rsidRPr="00737ABA">
              <w:rPr>
                <w:rFonts w:ascii="Arial Narrow" w:hAnsi="Arial Narrow" w:cs="Arial"/>
                <w:sz w:val="20"/>
                <w:szCs w:val="20"/>
              </w:rPr>
              <w:t xml:space="preserve"> kods</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C78B2"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Rādītājs</w:t>
            </w:r>
          </w:p>
        </w:tc>
        <w:tc>
          <w:tcPr>
            <w:tcW w:w="57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36F15D0"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2022. gada 12 mēneši</w:t>
            </w:r>
          </w:p>
        </w:tc>
      </w:tr>
      <w:tr w:rsidR="00C7337E" w:rsidRPr="00737ABA" w14:paraId="75C7CAEB" w14:textId="77777777" w:rsidTr="00E55C62">
        <w:trPr>
          <w:trHeight w:val="1056"/>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0EFC1D8" w14:textId="77777777" w:rsidR="00C7337E" w:rsidRPr="00737ABA" w:rsidRDefault="00C7337E" w:rsidP="00E55C62">
            <w:pPr>
              <w:rPr>
                <w:rFonts w:ascii="Arial Narrow" w:hAnsi="Arial Narrow" w:cs="Arial"/>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58EC4499" w14:textId="77777777" w:rsidR="00C7337E" w:rsidRPr="00737ABA" w:rsidRDefault="00C7337E" w:rsidP="00E55C62">
            <w:pPr>
              <w:rPr>
                <w:rFonts w:ascii="Arial Narrow" w:hAnsi="Arial Narrow" w:cs="Arial"/>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14:paraId="7B108635"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plāns, EUR</w:t>
            </w:r>
          </w:p>
        </w:tc>
        <w:tc>
          <w:tcPr>
            <w:tcW w:w="1360" w:type="dxa"/>
            <w:tcBorders>
              <w:top w:val="nil"/>
              <w:left w:val="nil"/>
              <w:bottom w:val="single" w:sz="4" w:space="0" w:color="auto"/>
              <w:right w:val="single" w:sz="4" w:space="0" w:color="auto"/>
            </w:tcBorders>
            <w:shd w:val="clear" w:color="auto" w:fill="auto"/>
            <w:vAlign w:val="center"/>
            <w:hideMark/>
          </w:tcPr>
          <w:p w14:paraId="43F99D49"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izpilde, EUR</w:t>
            </w:r>
          </w:p>
        </w:tc>
        <w:tc>
          <w:tcPr>
            <w:tcW w:w="1000" w:type="dxa"/>
            <w:tcBorders>
              <w:top w:val="nil"/>
              <w:left w:val="nil"/>
              <w:bottom w:val="single" w:sz="4" w:space="0" w:color="auto"/>
              <w:right w:val="single" w:sz="4" w:space="0" w:color="auto"/>
            </w:tcBorders>
            <w:shd w:val="clear" w:color="auto" w:fill="auto"/>
            <w:vAlign w:val="center"/>
            <w:hideMark/>
          </w:tcPr>
          <w:p w14:paraId="5A13C113"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izdevumu struktūra  %</w:t>
            </w:r>
          </w:p>
        </w:tc>
        <w:tc>
          <w:tcPr>
            <w:tcW w:w="1240" w:type="dxa"/>
            <w:tcBorders>
              <w:top w:val="nil"/>
              <w:left w:val="nil"/>
              <w:bottom w:val="single" w:sz="4" w:space="0" w:color="auto"/>
              <w:right w:val="single" w:sz="4" w:space="0" w:color="auto"/>
            </w:tcBorders>
            <w:shd w:val="clear" w:color="auto" w:fill="auto"/>
            <w:vAlign w:val="center"/>
            <w:hideMark/>
          </w:tcPr>
          <w:p w14:paraId="42E2E1A6" w14:textId="4AA24C5A"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plāna izpilde, EUR</w:t>
            </w:r>
          </w:p>
        </w:tc>
        <w:tc>
          <w:tcPr>
            <w:tcW w:w="820" w:type="dxa"/>
            <w:tcBorders>
              <w:top w:val="nil"/>
              <w:left w:val="nil"/>
              <w:bottom w:val="single" w:sz="4" w:space="0" w:color="auto"/>
              <w:right w:val="single" w:sz="4" w:space="0" w:color="auto"/>
            </w:tcBorders>
            <w:shd w:val="clear" w:color="auto" w:fill="auto"/>
            <w:vAlign w:val="center"/>
            <w:hideMark/>
          </w:tcPr>
          <w:p w14:paraId="14F77ECA"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plāna izpilde  %</w:t>
            </w:r>
          </w:p>
        </w:tc>
      </w:tr>
      <w:tr w:rsidR="00C7337E" w:rsidRPr="00737ABA" w14:paraId="55B0B263" w14:textId="77777777" w:rsidTr="00E55C62">
        <w:trPr>
          <w:trHeight w:val="792"/>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C09AC7"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01.000</w:t>
            </w:r>
          </w:p>
        </w:tc>
        <w:tc>
          <w:tcPr>
            <w:tcW w:w="2480" w:type="dxa"/>
            <w:tcBorders>
              <w:top w:val="nil"/>
              <w:left w:val="nil"/>
              <w:bottom w:val="single" w:sz="4" w:space="0" w:color="auto"/>
              <w:right w:val="single" w:sz="4" w:space="0" w:color="auto"/>
            </w:tcBorders>
            <w:shd w:val="clear" w:color="auto" w:fill="auto"/>
            <w:vAlign w:val="center"/>
            <w:hideMark/>
          </w:tcPr>
          <w:p w14:paraId="53FE6C14"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Vispārējie valdības dienesti</w:t>
            </w:r>
          </w:p>
        </w:tc>
        <w:tc>
          <w:tcPr>
            <w:tcW w:w="1320" w:type="dxa"/>
            <w:tcBorders>
              <w:top w:val="nil"/>
              <w:left w:val="nil"/>
              <w:bottom w:val="single" w:sz="4" w:space="0" w:color="auto"/>
              <w:right w:val="single" w:sz="4" w:space="0" w:color="auto"/>
            </w:tcBorders>
            <w:shd w:val="clear" w:color="auto" w:fill="auto"/>
            <w:vAlign w:val="center"/>
            <w:hideMark/>
          </w:tcPr>
          <w:p w14:paraId="62852669"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5 574 983</w:t>
            </w:r>
          </w:p>
        </w:tc>
        <w:tc>
          <w:tcPr>
            <w:tcW w:w="1360" w:type="dxa"/>
            <w:tcBorders>
              <w:top w:val="nil"/>
              <w:left w:val="nil"/>
              <w:bottom w:val="single" w:sz="4" w:space="0" w:color="auto"/>
              <w:right w:val="single" w:sz="4" w:space="0" w:color="auto"/>
            </w:tcBorders>
            <w:shd w:val="clear" w:color="auto" w:fill="auto"/>
            <w:vAlign w:val="center"/>
            <w:hideMark/>
          </w:tcPr>
          <w:p w14:paraId="291F809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5 060 364</w:t>
            </w:r>
          </w:p>
        </w:tc>
        <w:tc>
          <w:tcPr>
            <w:tcW w:w="1000" w:type="dxa"/>
            <w:tcBorders>
              <w:top w:val="nil"/>
              <w:left w:val="nil"/>
              <w:bottom w:val="single" w:sz="4" w:space="0" w:color="auto"/>
              <w:right w:val="single" w:sz="4" w:space="0" w:color="auto"/>
            </w:tcBorders>
            <w:shd w:val="clear" w:color="auto" w:fill="auto"/>
            <w:noWrap/>
            <w:vAlign w:val="bottom"/>
            <w:hideMark/>
          </w:tcPr>
          <w:p w14:paraId="38959AD1"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14:paraId="5E611BF7"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-514 619</w:t>
            </w:r>
          </w:p>
        </w:tc>
        <w:tc>
          <w:tcPr>
            <w:tcW w:w="820" w:type="dxa"/>
            <w:tcBorders>
              <w:top w:val="nil"/>
              <w:left w:val="nil"/>
              <w:bottom w:val="single" w:sz="4" w:space="0" w:color="auto"/>
              <w:right w:val="single" w:sz="4" w:space="0" w:color="auto"/>
            </w:tcBorders>
            <w:shd w:val="clear" w:color="auto" w:fill="auto"/>
            <w:noWrap/>
            <w:vAlign w:val="bottom"/>
            <w:hideMark/>
          </w:tcPr>
          <w:p w14:paraId="4E7ABCF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91%</w:t>
            </w:r>
          </w:p>
        </w:tc>
      </w:tr>
      <w:tr w:rsidR="00C7337E" w:rsidRPr="00737ABA" w14:paraId="25AF76FD" w14:textId="77777777" w:rsidTr="00E55C62">
        <w:trPr>
          <w:trHeight w:val="792"/>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B86B8F"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03.000</w:t>
            </w:r>
          </w:p>
        </w:tc>
        <w:tc>
          <w:tcPr>
            <w:tcW w:w="2480" w:type="dxa"/>
            <w:tcBorders>
              <w:top w:val="nil"/>
              <w:left w:val="nil"/>
              <w:bottom w:val="single" w:sz="4" w:space="0" w:color="auto"/>
              <w:right w:val="single" w:sz="4" w:space="0" w:color="auto"/>
            </w:tcBorders>
            <w:shd w:val="clear" w:color="auto" w:fill="auto"/>
            <w:vAlign w:val="center"/>
            <w:hideMark/>
          </w:tcPr>
          <w:p w14:paraId="1C0346DC"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Sabiedriskā kārtība un drošība</w:t>
            </w:r>
          </w:p>
        </w:tc>
        <w:tc>
          <w:tcPr>
            <w:tcW w:w="1320" w:type="dxa"/>
            <w:tcBorders>
              <w:top w:val="nil"/>
              <w:left w:val="nil"/>
              <w:bottom w:val="single" w:sz="4" w:space="0" w:color="auto"/>
              <w:right w:val="single" w:sz="4" w:space="0" w:color="auto"/>
            </w:tcBorders>
            <w:shd w:val="clear" w:color="auto" w:fill="auto"/>
            <w:vAlign w:val="center"/>
            <w:hideMark/>
          </w:tcPr>
          <w:p w14:paraId="44C22DC7"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1 099 765</w:t>
            </w:r>
          </w:p>
        </w:tc>
        <w:tc>
          <w:tcPr>
            <w:tcW w:w="1360" w:type="dxa"/>
            <w:tcBorders>
              <w:top w:val="nil"/>
              <w:left w:val="nil"/>
              <w:bottom w:val="single" w:sz="4" w:space="0" w:color="auto"/>
              <w:right w:val="single" w:sz="4" w:space="0" w:color="auto"/>
            </w:tcBorders>
            <w:shd w:val="clear" w:color="auto" w:fill="auto"/>
            <w:vAlign w:val="center"/>
            <w:hideMark/>
          </w:tcPr>
          <w:p w14:paraId="68630C8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963 682</w:t>
            </w:r>
          </w:p>
        </w:tc>
        <w:tc>
          <w:tcPr>
            <w:tcW w:w="1000" w:type="dxa"/>
            <w:tcBorders>
              <w:top w:val="nil"/>
              <w:left w:val="nil"/>
              <w:bottom w:val="single" w:sz="4" w:space="0" w:color="auto"/>
              <w:right w:val="single" w:sz="4" w:space="0" w:color="auto"/>
            </w:tcBorders>
            <w:shd w:val="clear" w:color="auto" w:fill="auto"/>
            <w:noWrap/>
            <w:vAlign w:val="bottom"/>
            <w:hideMark/>
          </w:tcPr>
          <w:p w14:paraId="3AE54E39"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09F6A1C0"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-136 083</w:t>
            </w:r>
          </w:p>
        </w:tc>
        <w:tc>
          <w:tcPr>
            <w:tcW w:w="820" w:type="dxa"/>
            <w:tcBorders>
              <w:top w:val="nil"/>
              <w:left w:val="nil"/>
              <w:bottom w:val="single" w:sz="4" w:space="0" w:color="auto"/>
              <w:right w:val="single" w:sz="4" w:space="0" w:color="auto"/>
            </w:tcBorders>
            <w:shd w:val="clear" w:color="auto" w:fill="auto"/>
            <w:noWrap/>
            <w:vAlign w:val="bottom"/>
            <w:hideMark/>
          </w:tcPr>
          <w:p w14:paraId="55A7E956"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88%</w:t>
            </w:r>
          </w:p>
        </w:tc>
      </w:tr>
      <w:tr w:rsidR="00C7337E" w:rsidRPr="00737ABA" w14:paraId="0C187989" w14:textId="77777777" w:rsidTr="00E55C62">
        <w:trPr>
          <w:trHeight w:val="528"/>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748D38"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04.000</w:t>
            </w:r>
          </w:p>
        </w:tc>
        <w:tc>
          <w:tcPr>
            <w:tcW w:w="2480" w:type="dxa"/>
            <w:tcBorders>
              <w:top w:val="nil"/>
              <w:left w:val="nil"/>
              <w:bottom w:val="single" w:sz="4" w:space="0" w:color="auto"/>
              <w:right w:val="single" w:sz="4" w:space="0" w:color="auto"/>
            </w:tcBorders>
            <w:shd w:val="clear" w:color="auto" w:fill="auto"/>
            <w:vAlign w:val="center"/>
            <w:hideMark/>
          </w:tcPr>
          <w:p w14:paraId="2D5A77DC"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Ekonomiskā darbība</w:t>
            </w:r>
          </w:p>
        </w:tc>
        <w:tc>
          <w:tcPr>
            <w:tcW w:w="1320" w:type="dxa"/>
            <w:tcBorders>
              <w:top w:val="nil"/>
              <w:left w:val="nil"/>
              <w:bottom w:val="single" w:sz="4" w:space="0" w:color="auto"/>
              <w:right w:val="single" w:sz="4" w:space="0" w:color="auto"/>
            </w:tcBorders>
            <w:shd w:val="clear" w:color="auto" w:fill="auto"/>
            <w:vAlign w:val="center"/>
            <w:hideMark/>
          </w:tcPr>
          <w:p w14:paraId="02B4F696"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9 070 106</w:t>
            </w:r>
          </w:p>
        </w:tc>
        <w:tc>
          <w:tcPr>
            <w:tcW w:w="1360" w:type="dxa"/>
            <w:tcBorders>
              <w:top w:val="nil"/>
              <w:left w:val="nil"/>
              <w:bottom w:val="single" w:sz="4" w:space="0" w:color="auto"/>
              <w:right w:val="single" w:sz="4" w:space="0" w:color="auto"/>
            </w:tcBorders>
            <w:shd w:val="clear" w:color="auto" w:fill="auto"/>
            <w:vAlign w:val="center"/>
            <w:hideMark/>
          </w:tcPr>
          <w:p w14:paraId="73648CC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7 649 081</w:t>
            </w:r>
          </w:p>
        </w:tc>
        <w:tc>
          <w:tcPr>
            <w:tcW w:w="1000" w:type="dxa"/>
            <w:tcBorders>
              <w:top w:val="nil"/>
              <w:left w:val="nil"/>
              <w:bottom w:val="single" w:sz="4" w:space="0" w:color="auto"/>
              <w:right w:val="single" w:sz="4" w:space="0" w:color="auto"/>
            </w:tcBorders>
            <w:shd w:val="clear" w:color="auto" w:fill="auto"/>
            <w:noWrap/>
            <w:vAlign w:val="bottom"/>
            <w:hideMark/>
          </w:tcPr>
          <w:p w14:paraId="737A195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2E2B2E65"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-1 421 025</w:t>
            </w:r>
          </w:p>
        </w:tc>
        <w:tc>
          <w:tcPr>
            <w:tcW w:w="820" w:type="dxa"/>
            <w:tcBorders>
              <w:top w:val="nil"/>
              <w:left w:val="nil"/>
              <w:bottom w:val="single" w:sz="4" w:space="0" w:color="auto"/>
              <w:right w:val="single" w:sz="4" w:space="0" w:color="auto"/>
            </w:tcBorders>
            <w:shd w:val="clear" w:color="auto" w:fill="auto"/>
            <w:noWrap/>
            <w:vAlign w:val="bottom"/>
            <w:hideMark/>
          </w:tcPr>
          <w:p w14:paraId="499FA20C"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84%</w:t>
            </w:r>
          </w:p>
        </w:tc>
      </w:tr>
      <w:tr w:rsidR="00C7337E" w:rsidRPr="00737ABA" w14:paraId="6A56D240" w14:textId="77777777" w:rsidTr="00E55C62">
        <w:trPr>
          <w:trHeight w:val="528"/>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FB21B6"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05.000</w:t>
            </w:r>
          </w:p>
        </w:tc>
        <w:tc>
          <w:tcPr>
            <w:tcW w:w="2480" w:type="dxa"/>
            <w:tcBorders>
              <w:top w:val="nil"/>
              <w:left w:val="nil"/>
              <w:bottom w:val="single" w:sz="4" w:space="0" w:color="auto"/>
              <w:right w:val="single" w:sz="4" w:space="0" w:color="auto"/>
            </w:tcBorders>
            <w:shd w:val="clear" w:color="auto" w:fill="auto"/>
            <w:vAlign w:val="center"/>
            <w:hideMark/>
          </w:tcPr>
          <w:p w14:paraId="3A490BA6"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Vides aizsardzība</w:t>
            </w:r>
          </w:p>
        </w:tc>
        <w:tc>
          <w:tcPr>
            <w:tcW w:w="1320" w:type="dxa"/>
            <w:tcBorders>
              <w:top w:val="nil"/>
              <w:left w:val="nil"/>
              <w:bottom w:val="single" w:sz="4" w:space="0" w:color="auto"/>
              <w:right w:val="single" w:sz="4" w:space="0" w:color="auto"/>
            </w:tcBorders>
            <w:shd w:val="clear" w:color="auto" w:fill="auto"/>
            <w:vAlign w:val="center"/>
            <w:hideMark/>
          </w:tcPr>
          <w:p w14:paraId="1F50B28D"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1 819 824</w:t>
            </w:r>
          </w:p>
        </w:tc>
        <w:tc>
          <w:tcPr>
            <w:tcW w:w="1360" w:type="dxa"/>
            <w:tcBorders>
              <w:top w:val="nil"/>
              <w:left w:val="nil"/>
              <w:bottom w:val="single" w:sz="4" w:space="0" w:color="auto"/>
              <w:right w:val="single" w:sz="4" w:space="0" w:color="auto"/>
            </w:tcBorders>
            <w:shd w:val="clear" w:color="auto" w:fill="auto"/>
            <w:vAlign w:val="center"/>
            <w:hideMark/>
          </w:tcPr>
          <w:p w14:paraId="75DE9D7E"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1 468 038</w:t>
            </w:r>
          </w:p>
        </w:tc>
        <w:tc>
          <w:tcPr>
            <w:tcW w:w="1000" w:type="dxa"/>
            <w:tcBorders>
              <w:top w:val="nil"/>
              <w:left w:val="nil"/>
              <w:bottom w:val="single" w:sz="4" w:space="0" w:color="auto"/>
              <w:right w:val="single" w:sz="4" w:space="0" w:color="auto"/>
            </w:tcBorders>
            <w:shd w:val="clear" w:color="auto" w:fill="auto"/>
            <w:noWrap/>
            <w:vAlign w:val="bottom"/>
            <w:hideMark/>
          </w:tcPr>
          <w:p w14:paraId="784CD58B"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36A92F8E"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-351 786</w:t>
            </w:r>
          </w:p>
        </w:tc>
        <w:tc>
          <w:tcPr>
            <w:tcW w:w="820" w:type="dxa"/>
            <w:tcBorders>
              <w:top w:val="nil"/>
              <w:left w:val="nil"/>
              <w:bottom w:val="single" w:sz="4" w:space="0" w:color="auto"/>
              <w:right w:val="single" w:sz="4" w:space="0" w:color="auto"/>
            </w:tcBorders>
            <w:shd w:val="clear" w:color="auto" w:fill="auto"/>
            <w:noWrap/>
            <w:vAlign w:val="bottom"/>
            <w:hideMark/>
          </w:tcPr>
          <w:p w14:paraId="13923062"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81%</w:t>
            </w:r>
          </w:p>
        </w:tc>
      </w:tr>
      <w:tr w:rsidR="00C7337E" w:rsidRPr="00737ABA" w14:paraId="52B49B3A" w14:textId="77777777" w:rsidTr="00E55C62">
        <w:trPr>
          <w:trHeight w:val="1056"/>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CCD95D"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06.000</w:t>
            </w:r>
          </w:p>
        </w:tc>
        <w:tc>
          <w:tcPr>
            <w:tcW w:w="2480" w:type="dxa"/>
            <w:tcBorders>
              <w:top w:val="nil"/>
              <w:left w:val="nil"/>
              <w:bottom w:val="single" w:sz="4" w:space="0" w:color="auto"/>
              <w:right w:val="single" w:sz="4" w:space="0" w:color="auto"/>
            </w:tcBorders>
            <w:shd w:val="clear" w:color="auto" w:fill="auto"/>
            <w:vAlign w:val="center"/>
            <w:hideMark/>
          </w:tcPr>
          <w:p w14:paraId="10BB7EC8"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Teritoriju un mājokļu apsaimniekošana</w:t>
            </w:r>
          </w:p>
        </w:tc>
        <w:tc>
          <w:tcPr>
            <w:tcW w:w="1320" w:type="dxa"/>
            <w:tcBorders>
              <w:top w:val="nil"/>
              <w:left w:val="nil"/>
              <w:bottom w:val="single" w:sz="4" w:space="0" w:color="auto"/>
              <w:right w:val="single" w:sz="4" w:space="0" w:color="auto"/>
            </w:tcBorders>
            <w:shd w:val="clear" w:color="auto" w:fill="auto"/>
            <w:vAlign w:val="center"/>
            <w:hideMark/>
          </w:tcPr>
          <w:p w14:paraId="03FB88C4"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16 358 452</w:t>
            </w:r>
          </w:p>
        </w:tc>
        <w:tc>
          <w:tcPr>
            <w:tcW w:w="1360" w:type="dxa"/>
            <w:tcBorders>
              <w:top w:val="nil"/>
              <w:left w:val="nil"/>
              <w:bottom w:val="single" w:sz="4" w:space="0" w:color="auto"/>
              <w:right w:val="single" w:sz="4" w:space="0" w:color="auto"/>
            </w:tcBorders>
            <w:shd w:val="clear" w:color="auto" w:fill="auto"/>
            <w:vAlign w:val="center"/>
            <w:hideMark/>
          </w:tcPr>
          <w:p w14:paraId="63BA6CF7"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12 597 680</w:t>
            </w:r>
          </w:p>
        </w:tc>
        <w:tc>
          <w:tcPr>
            <w:tcW w:w="1000" w:type="dxa"/>
            <w:tcBorders>
              <w:top w:val="nil"/>
              <w:left w:val="nil"/>
              <w:bottom w:val="single" w:sz="4" w:space="0" w:color="auto"/>
              <w:right w:val="single" w:sz="4" w:space="0" w:color="auto"/>
            </w:tcBorders>
            <w:shd w:val="clear" w:color="auto" w:fill="auto"/>
            <w:noWrap/>
            <w:vAlign w:val="bottom"/>
            <w:hideMark/>
          </w:tcPr>
          <w:p w14:paraId="01F32E8E"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13%</w:t>
            </w:r>
          </w:p>
        </w:tc>
        <w:tc>
          <w:tcPr>
            <w:tcW w:w="1240" w:type="dxa"/>
            <w:tcBorders>
              <w:top w:val="nil"/>
              <w:left w:val="nil"/>
              <w:bottom w:val="single" w:sz="4" w:space="0" w:color="auto"/>
              <w:right w:val="single" w:sz="4" w:space="0" w:color="auto"/>
            </w:tcBorders>
            <w:shd w:val="clear" w:color="auto" w:fill="auto"/>
            <w:vAlign w:val="center"/>
            <w:hideMark/>
          </w:tcPr>
          <w:p w14:paraId="694DA37F"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-3 760 772</w:t>
            </w:r>
          </w:p>
        </w:tc>
        <w:tc>
          <w:tcPr>
            <w:tcW w:w="820" w:type="dxa"/>
            <w:tcBorders>
              <w:top w:val="nil"/>
              <w:left w:val="nil"/>
              <w:bottom w:val="single" w:sz="4" w:space="0" w:color="auto"/>
              <w:right w:val="single" w:sz="4" w:space="0" w:color="auto"/>
            </w:tcBorders>
            <w:shd w:val="clear" w:color="auto" w:fill="auto"/>
            <w:noWrap/>
            <w:vAlign w:val="bottom"/>
            <w:hideMark/>
          </w:tcPr>
          <w:p w14:paraId="62863BE5"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77%</w:t>
            </w:r>
          </w:p>
        </w:tc>
      </w:tr>
      <w:tr w:rsidR="00C7337E" w:rsidRPr="00737ABA" w14:paraId="26930321" w14:textId="77777777" w:rsidTr="00E55C62">
        <w:trPr>
          <w:trHeight w:val="264"/>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B3F482"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07.000</w:t>
            </w:r>
          </w:p>
        </w:tc>
        <w:tc>
          <w:tcPr>
            <w:tcW w:w="2480" w:type="dxa"/>
            <w:tcBorders>
              <w:top w:val="nil"/>
              <w:left w:val="nil"/>
              <w:bottom w:val="single" w:sz="4" w:space="0" w:color="auto"/>
              <w:right w:val="single" w:sz="4" w:space="0" w:color="auto"/>
            </w:tcBorders>
            <w:shd w:val="clear" w:color="auto" w:fill="auto"/>
            <w:vAlign w:val="center"/>
            <w:hideMark/>
          </w:tcPr>
          <w:p w14:paraId="13B80369"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Veselība</w:t>
            </w:r>
          </w:p>
        </w:tc>
        <w:tc>
          <w:tcPr>
            <w:tcW w:w="1320" w:type="dxa"/>
            <w:tcBorders>
              <w:top w:val="nil"/>
              <w:left w:val="nil"/>
              <w:bottom w:val="single" w:sz="4" w:space="0" w:color="auto"/>
              <w:right w:val="single" w:sz="4" w:space="0" w:color="auto"/>
            </w:tcBorders>
            <w:shd w:val="clear" w:color="auto" w:fill="auto"/>
            <w:vAlign w:val="center"/>
            <w:hideMark/>
          </w:tcPr>
          <w:p w14:paraId="15678114"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534 052</w:t>
            </w:r>
          </w:p>
        </w:tc>
        <w:tc>
          <w:tcPr>
            <w:tcW w:w="1360" w:type="dxa"/>
            <w:tcBorders>
              <w:top w:val="nil"/>
              <w:left w:val="nil"/>
              <w:bottom w:val="single" w:sz="4" w:space="0" w:color="auto"/>
              <w:right w:val="single" w:sz="4" w:space="0" w:color="auto"/>
            </w:tcBorders>
            <w:shd w:val="clear" w:color="auto" w:fill="auto"/>
            <w:vAlign w:val="center"/>
            <w:hideMark/>
          </w:tcPr>
          <w:p w14:paraId="3ECF9D01"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383 270</w:t>
            </w:r>
          </w:p>
        </w:tc>
        <w:tc>
          <w:tcPr>
            <w:tcW w:w="1000" w:type="dxa"/>
            <w:tcBorders>
              <w:top w:val="nil"/>
              <w:left w:val="nil"/>
              <w:bottom w:val="single" w:sz="4" w:space="0" w:color="auto"/>
              <w:right w:val="single" w:sz="4" w:space="0" w:color="auto"/>
            </w:tcBorders>
            <w:shd w:val="clear" w:color="auto" w:fill="auto"/>
            <w:noWrap/>
            <w:vAlign w:val="bottom"/>
            <w:hideMark/>
          </w:tcPr>
          <w:p w14:paraId="3DC706CE"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14:paraId="175CE5B4"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-150 782</w:t>
            </w:r>
          </w:p>
        </w:tc>
        <w:tc>
          <w:tcPr>
            <w:tcW w:w="820" w:type="dxa"/>
            <w:tcBorders>
              <w:top w:val="nil"/>
              <w:left w:val="nil"/>
              <w:bottom w:val="single" w:sz="4" w:space="0" w:color="auto"/>
              <w:right w:val="single" w:sz="4" w:space="0" w:color="auto"/>
            </w:tcBorders>
            <w:shd w:val="clear" w:color="auto" w:fill="auto"/>
            <w:noWrap/>
            <w:vAlign w:val="bottom"/>
            <w:hideMark/>
          </w:tcPr>
          <w:p w14:paraId="61E4EE33"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72%</w:t>
            </w:r>
          </w:p>
        </w:tc>
      </w:tr>
      <w:tr w:rsidR="00C7337E" w:rsidRPr="00737ABA" w14:paraId="559D1F9A" w14:textId="77777777" w:rsidTr="00E55C62">
        <w:trPr>
          <w:trHeight w:val="528"/>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EBD257"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08.000</w:t>
            </w:r>
          </w:p>
        </w:tc>
        <w:tc>
          <w:tcPr>
            <w:tcW w:w="2480" w:type="dxa"/>
            <w:tcBorders>
              <w:top w:val="nil"/>
              <w:left w:val="nil"/>
              <w:bottom w:val="single" w:sz="4" w:space="0" w:color="auto"/>
              <w:right w:val="single" w:sz="4" w:space="0" w:color="auto"/>
            </w:tcBorders>
            <w:shd w:val="clear" w:color="auto" w:fill="auto"/>
            <w:vAlign w:val="center"/>
            <w:hideMark/>
          </w:tcPr>
          <w:p w14:paraId="21F14D24"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Atpūta, kultūra un reliģija</w:t>
            </w:r>
          </w:p>
        </w:tc>
        <w:tc>
          <w:tcPr>
            <w:tcW w:w="1320" w:type="dxa"/>
            <w:tcBorders>
              <w:top w:val="nil"/>
              <w:left w:val="nil"/>
              <w:bottom w:val="single" w:sz="4" w:space="0" w:color="auto"/>
              <w:right w:val="single" w:sz="4" w:space="0" w:color="auto"/>
            </w:tcBorders>
            <w:shd w:val="clear" w:color="auto" w:fill="auto"/>
            <w:vAlign w:val="center"/>
            <w:hideMark/>
          </w:tcPr>
          <w:p w14:paraId="41292988"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11 738 575</w:t>
            </w:r>
          </w:p>
        </w:tc>
        <w:tc>
          <w:tcPr>
            <w:tcW w:w="1360" w:type="dxa"/>
            <w:tcBorders>
              <w:top w:val="nil"/>
              <w:left w:val="nil"/>
              <w:bottom w:val="single" w:sz="4" w:space="0" w:color="auto"/>
              <w:right w:val="single" w:sz="4" w:space="0" w:color="auto"/>
            </w:tcBorders>
            <w:shd w:val="clear" w:color="auto" w:fill="auto"/>
            <w:vAlign w:val="center"/>
            <w:hideMark/>
          </w:tcPr>
          <w:p w14:paraId="632B1CDF"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10 831 382</w:t>
            </w:r>
          </w:p>
        </w:tc>
        <w:tc>
          <w:tcPr>
            <w:tcW w:w="1000" w:type="dxa"/>
            <w:tcBorders>
              <w:top w:val="nil"/>
              <w:left w:val="nil"/>
              <w:bottom w:val="single" w:sz="4" w:space="0" w:color="auto"/>
              <w:right w:val="single" w:sz="4" w:space="0" w:color="auto"/>
            </w:tcBorders>
            <w:shd w:val="clear" w:color="auto" w:fill="auto"/>
            <w:noWrap/>
            <w:vAlign w:val="bottom"/>
            <w:hideMark/>
          </w:tcPr>
          <w:p w14:paraId="07FF8862"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11%</w:t>
            </w:r>
          </w:p>
        </w:tc>
        <w:tc>
          <w:tcPr>
            <w:tcW w:w="1240" w:type="dxa"/>
            <w:tcBorders>
              <w:top w:val="nil"/>
              <w:left w:val="nil"/>
              <w:bottom w:val="single" w:sz="4" w:space="0" w:color="auto"/>
              <w:right w:val="single" w:sz="4" w:space="0" w:color="auto"/>
            </w:tcBorders>
            <w:shd w:val="clear" w:color="auto" w:fill="auto"/>
            <w:vAlign w:val="center"/>
            <w:hideMark/>
          </w:tcPr>
          <w:p w14:paraId="711FC442"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-907 193</w:t>
            </w:r>
          </w:p>
        </w:tc>
        <w:tc>
          <w:tcPr>
            <w:tcW w:w="820" w:type="dxa"/>
            <w:tcBorders>
              <w:top w:val="nil"/>
              <w:left w:val="nil"/>
              <w:bottom w:val="single" w:sz="4" w:space="0" w:color="auto"/>
              <w:right w:val="single" w:sz="4" w:space="0" w:color="auto"/>
            </w:tcBorders>
            <w:shd w:val="clear" w:color="auto" w:fill="auto"/>
            <w:noWrap/>
            <w:vAlign w:val="bottom"/>
            <w:hideMark/>
          </w:tcPr>
          <w:p w14:paraId="6AB8FBB4"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92%</w:t>
            </w:r>
          </w:p>
        </w:tc>
      </w:tr>
      <w:tr w:rsidR="00C7337E" w:rsidRPr="00737ABA" w14:paraId="796DD447" w14:textId="77777777" w:rsidTr="00E55C62">
        <w:trPr>
          <w:trHeight w:val="264"/>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D2306A"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09.000</w:t>
            </w:r>
          </w:p>
        </w:tc>
        <w:tc>
          <w:tcPr>
            <w:tcW w:w="2480" w:type="dxa"/>
            <w:tcBorders>
              <w:top w:val="nil"/>
              <w:left w:val="nil"/>
              <w:bottom w:val="single" w:sz="4" w:space="0" w:color="auto"/>
              <w:right w:val="single" w:sz="4" w:space="0" w:color="auto"/>
            </w:tcBorders>
            <w:shd w:val="clear" w:color="auto" w:fill="auto"/>
            <w:vAlign w:val="center"/>
            <w:hideMark/>
          </w:tcPr>
          <w:p w14:paraId="25980157"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Izglītība</w:t>
            </w:r>
          </w:p>
        </w:tc>
        <w:tc>
          <w:tcPr>
            <w:tcW w:w="1320" w:type="dxa"/>
            <w:tcBorders>
              <w:top w:val="nil"/>
              <w:left w:val="nil"/>
              <w:bottom w:val="single" w:sz="4" w:space="0" w:color="auto"/>
              <w:right w:val="single" w:sz="4" w:space="0" w:color="auto"/>
            </w:tcBorders>
            <w:shd w:val="clear" w:color="auto" w:fill="auto"/>
            <w:vAlign w:val="center"/>
            <w:hideMark/>
          </w:tcPr>
          <w:p w14:paraId="53782E3C"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58 845 305</w:t>
            </w:r>
          </w:p>
        </w:tc>
        <w:tc>
          <w:tcPr>
            <w:tcW w:w="1360" w:type="dxa"/>
            <w:tcBorders>
              <w:top w:val="nil"/>
              <w:left w:val="nil"/>
              <w:bottom w:val="single" w:sz="4" w:space="0" w:color="auto"/>
              <w:right w:val="single" w:sz="4" w:space="0" w:color="auto"/>
            </w:tcBorders>
            <w:shd w:val="clear" w:color="auto" w:fill="auto"/>
            <w:vAlign w:val="center"/>
            <w:hideMark/>
          </w:tcPr>
          <w:p w14:paraId="4492A683"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50 512 339</w:t>
            </w:r>
          </w:p>
        </w:tc>
        <w:tc>
          <w:tcPr>
            <w:tcW w:w="1000" w:type="dxa"/>
            <w:tcBorders>
              <w:top w:val="nil"/>
              <w:left w:val="nil"/>
              <w:bottom w:val="single" w:sz="4" w:space="0" w:color="auto"/>
              <w:right w:val="single" w:sz="4" w:space="0" w:color="auto"/>
            </w:tcBorders>
            <w:shd w:val="clear" w:color="auto" w:fill="auto"/>
            <w:noWrap/>
            <w:vAlign w:val="bottom"/>
            <w:hideMark/>
          </w:tcPr>
          <w:p w14:paraId="490ACCF3"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14:paraId="3E656C8E"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-8 332 966</w:t>
            </w:r>
          </w:p>
        </w:tc>
        <w:tc>
          <w:tcPr>
            <w:tcW w:w="820" w:type="dxa"/>
            <w:tcBorders>
              <w:top w:val="nil"/>
              <w:left w:val="nil"/>
              <w:bottom w:val="single" w:sz="4" w:space="0" w:color="auto"/>
              <w:right w:val="single" w:sz="4" w:space="0" w:color="auto"/>
            </w:tcBorders>
            <w:shd w:val="clear" w:color="auto" w:fill="auto"/>
            <w:noWrap/>
            <w:vAlign w:val="bottom"/>
            <w:hideMark/>
          </w:tcPr>
          <w:p w14:paraId="54025B1A"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86%</w:t>
            </w:r>
          </w:p>
        </w:tc>
      </w:tr>
      <w:tr w:rsidR="00C7337E" w:rsidRPr="00737ABA" w14:paraId="1705B8AD" w14:textId="77777777" w:rsidTr="00E55C62">
        <w:trPr>
          <w:trHeight w:val="264"/>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758DD9"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10.000</w:t>
            </w:r>
          </w:p>
        </w:tc>
        <w:tc>
          <w:tcPr>
            <w:tcW w:w="2480" w:type="dxa"/>
            <w:tcBorders>
              <w:top w:val="nil"/>
              <w:left w:val="nil"/>
              <w:bottom w:val="single" w:sz="4" w:space="0" w:color="auto"/>
              <w:right w:val="single" w:sz="4" w:space="0" w:color="auto"/>
            </w:tcBorders>
            <w:shd w:val="clear" w:color="auto" w:fill="auto"/>
            <w:vAlign w:val="center"/>
            <w:hideMark/>
          </w:tcPr>
          <w:p w14:paraId="09CF8099" w14:textId="77777777" w:rsidR="00C7337E" w:rsidRPr="00737ABA" w:rsidRDefault="00C7337E" w:rsidP="00E55C62">
            <w:pPr>
              <w:rPr>
                <w:rFonts w:ascii="Arial Narrow" w:hAnsi="Arial Narrow" w:cs="Arial"/>
                <w:sz w:val="20"/>
                <w:szCs w:val="20"/>
              </w:rPr>
            </w:pPr>
            <w:r w:rsidRPr="00737ABA">
              <w:rPr>
                <w:rFonts w:ascii="Arial Narrow" w:hAnsi="Arial Narrow" w:cs="Arial"/>
                <w:sz w:val="20"/>
                <w:szCs w:val="20"/>
              </w:rPr>
              <w:t>Sociālā aizsardzība</w:t>
            </w:r>
          </w:p>
        </w:tc>
        <w:tc>
          <w:tcPr>
            <w:tcW w:w="1320" w:type="dxa"/>
            <w:tcBorders>
              <w:top w:val="nil"/>
              <w:left w:val="nil"/>
              <w:bottom w:val="single" w:sz="4" w:space="0" w:color="auto"/>
              <w:right w:val="single" w:sz="4" w:space="0" w:color="auto"/>
            </w:tcBorders>
            <w:shd w:val="clear" w:color="auto" w:fill="auto"/>
            <w:vAlign w:val="center"/>
            <w:hideMark/>
          </w:tcPr>
          <w:p w14:paraId="78851AFC" w14:textId="77777777" w:rsidR="00C7337E" w:rsidRPr="00737ABA" w:rsidRDefault="00C7337E" w:rsidP="00E55C62">
            <w:pPr>
              <w:jc w:val="center"/>
              <w:rPr>
                <w:rFonts w:ascii="Arial Narrow" w:hAnsi="Arial Narrow" w:cs="Arial"/>
                <w:sz w:val="20"/>
                <w:szCs w:val="20"/>
              </w:rPr>
            </w:pPr>
            <w:r w:rsidRPr="00737ABA">
              <w:rPr>
                <w:rFonts w:ascii="Arial Narrow" w:hAnsi="Arial Narrow" w:cs="Arial"/>
                <w:sz w:val="20"/>
                <w:szCs w:val="20"/>
              </w:rPr>
              <w:t>13 007 787</w:t>
            </w:r>
          </w:p>
        </w:tc>
        <w:tc>
          <w:tcPr>
            <w:tcW w:w="1360" w:type="dxa"/>
            <w:tcBorders>
              <w:top w:val="nil"/>
              <w:left w:val="nil"/>
              <w:bottom w:val="single" w:sz="4" w:space="0" w:color="auto"/>
              <w:right w:val="single" w:sz="4" w:space="0" w:color="auto"/>
            </w:tcBorders>
            <w:shd w:val="clear" w:color="auto" w:fill="auto"/>
            <w:vAlign w:val="center"/>
            <w:hideMark/>
          </w:tcPr>
          <w:p w14:paraId="25693899"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11 245 921</w:t>
            </w:r>
          </w:p>
        </w:tc>
        <w:tc>
          <w:tcPr>
            <w:tcW w:w="1000" w:type="dxa"/>
            <w:tcBorders>
              <w:top w:val="nil"/>
              <w:left w:val="nil"/>
              <w:bottom w:val="single" w:sz="4" w:space="0" w:color="auto"/>
              <w:right w:val="single" w:sz="4" w:space="0" w:color="auto"/>
            </w:tcBorders>
            <w:shd w:val="clear" w:color="auto" w:fill="auto"/>
            <w:noWrap/>
            <w:vAlign w:val="bottom"/>
            <w:hideMark/>
          </w:tcPr>
          <w:p w14:paraId="50AD1395"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11%</w:t>
            </w:r>
          </w:p>
        </w:tc>
        <w:tc>
          <w:tcPr>
            <w:tcW w:w="1240" w:type="dxa"/>
            <w:tcBorders>
              <w:top w:val="nil"/>
              <w:left w:val="nil"/>
              <w:bottom w:val="single" w:sz="4" w:space="0" w:color="auto"/>
              <w:right w:val="single" w:sz="4" w:space="0" w:color="auto"/>
            </w:tcBorders>
            <w:shd w:val="clear" w:color="auto" w:fill="auto"/>
            <w:vAlign w:val="center"/>
            <w:hideMark/>
          </w:tcPr>
          <w:p w14:paraId="1AD51858"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-1 761 866</w:t>
            </w:r>
          </w:p>
        </w:tc>
        <w:tc>
          <w:tcPr>
            <w:tcW w:w="820" w:type="dxa"/>
            <w:tcBorders>
              <w:top w:val="nil"/>
              <w:left w:val="nil"/>
              <w:bottom w:val="single" w:sz="4" w:space="0" w:color="auto"/>
              <w:right w:val="single" w:sz="4" w:space="0" w:color="auto"/>
            </w:tcBorders>
            <w:shd w:val="clear" w:color="auto" w:fill="auto"/>
            <w:noWrap/>
            <w:vAlign w:val="bottom"/>
            <w:hideMark/>
          </w:tcPr>
          <w:p w14:paraId="7C1399F1" w14:textId="77777777" w:rsidR="00C7337E" w:rsidRPr="00737ABA" w:rsidRDefault="00C7337E" w:rsidP="00E55C62">
            <w:pPr>
              <w:jc w:val="right"/>
              <w:rPr>
                <w:rFonts w:ascii="Arial Narrow" w:hAnsi="Arial Narrow" w:cs="Arial"/>
                <w:sz w:val="20"/>
                <w:szCs w:val="20"/>
              </w:rPr>
            </w:pPr>
            <w:r w:rsidRPr="00737ABA">
              <w:rPr>
                <w:rFonts w:ascii="Arial Narrow" w:hAnsi="Arial Narrow" w:cs="Arial"/>
                <w:sz w:val="20"/>
                <w:szCs w:val="20"/>
              </w:rPr>
              <w:t>86%</w:t>
            </w:r>
          </w:p>
        </w:tc>
      </w:tr>
      <w:tr w:rsidR="00C7337E" w:rsidRPr="00737ABA" w14:paraId="69114378" w14:textId="77777777" w:rsidTr="00E55C62">
        <w:trPr>
          <w:trHeight w:val="264"/>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8A7DB8" w14:textId="77777777" w:rsidR="00C7337E" w:rsidRPr="00737ABA" w:rsidRDefault="00C7337E" w:rsidP="00E55C62">
            <w:pPr>
              <w:jc w:val="center"/>
              <w:rPr>
                <w:rFonts w:ascii="Arial Narrow" w:hAnsi="Arial Narrow" w:cs="Arial"/>
                <w:b/>
                <w:bCs/>
                <w:sz w:val="18"/>
                <w:szCs w:val="18"/>
              </w:rPr>
            </w:pPr>
            <w:r w:rsidRPr="00737ABA">
              <w:rPr>
                <w:rFonts w:ascii="Arial Narrow" w:hAnsi="Arial Narrow" w:cs="Arial"/>
                <w:b/>
                <w:bCs/>
                <w:sz w:val="18"/>
                <w:szCs w:val="18"/>
              </w:rPr>
              <w:t>Kopā pa valdības funkcijām</w:t>
            </w:r>
          </w:p>
        </w:tc>
        <w:tc>
          <w:tcPr>
            <w:tcW w:w="1320" w:type="dxa"/>
            <w:tcBorders>
              <w:top w:val="nil"/>
              <w:left w:val="nil"/>
              <w:bottom w:val="single" w:sz="4" w:space="0" w:color="auto"/>
              <w:right w:val="single" w:sz="4" w:space="0" w:color="auto"/>
            </w:tcBorders>
            <w:shd w:val="clear" w:color="auto" w:fill="auto"/>
            <w:noWrap/>
            <w:vAlign w:val="bottom"/>
            <w:hideMark/>
          </w:tcPr>
          <w:p w14:paraId="4905D083" w14:textId="77777777" w:rsidR="00C7337E" w:rsidRPr="00737ABA" w:rsidRDefault="00C7337E" w:rsidP="00E55C62">
            <w:pPr>
              <w:jc w:val="right"/>
              <w:rPr>
                <w:rFonts w:ascii="Arial Narrow" w:hAnsi="Arial Narrow" w:cs="Arial"/>
                <w:b/>
                <w:bCs/>
                <w:sz w:val="18"/>
                <w:szCs w:val="18"/>
              </w:rPr>
            </w:pPr>
            <w:r w:rsidRPr="00737ABA">
              <w:rPr>
                <w:rFonts w:ascii="Arial Narrow" w:hAnsi="Arial Narrow" w:cs="Arial"/>
                <w:b/>
                <w:bCs/>
                <w:sz w:val="18"/>
                <w:szCs w:val="18"/>
              </w:rPr>
              <w:t>118 048 849</w:t>
            </w:r>
          </w:p>
        </w:tc>
        <w:tc>
          <w:tcPr>
            <w:tcW w:w="1360" w:type="dxa"/>
            <w:tcBorders>
              <w:top w:val="nil"/>
              <w:left w:val="nil"/>
              <w:bottom w:val="single" w:sz="4" w:space="0" w:color="auto"/>
              <w:right w:val="single" w:sz="4" w:space="0" w:color="auto"/>
            </w:tcBorders>
            <w:shd w:val="clear" w:color="auto" w:fill="auto"/>
            <w:noWrap/>
            <w:vAlign w:val="bottom"/>
            <w:hideMark/>
          </w:tcPr>
          <w:p w14:paraId="7F1D152B" w14:textId="77777777" w:rsidR="00C7337E" w:rsidRPr="00737ABA" w:rsidRDefault="00C7337E" w:rsidP="00E55C62">
            <w:pPr>
              <w:jc w:val="right"/>
              <w:rPr>
                <w:rFonts w:ascii="Arial Narrow" w:hAnsi="Arial Narrow" w:cs="Arial"/>
                <w:b/>
                <w:bCs/>
                <w:sz w:val="18"/>
                <w:szCs w:val="18"/>
              </w:rPr>
            </w:pPr>
            <w:r w:rsidRPr="00737ABA">
              <w:rPr>
                <w:rFonts w:ascii="Arial Narrow" w:hAnsi="Arial Narrow" w:cs="Arial"/>
                <w:b/>
                <w:bCs/>
                <w:sz w:val="18"/>
                <w:szCs w:val="18"/>
              </w:rPr>
              <w:t>100 711 757</w:t>
            </w:r>
          </w:p>
        </w:tc>
        <w:tc>
          <w:tcPr>
            <w:tcW w:w="1000" w:type="dxa"/>
            <w:tcBorders>
              <w:top w:val="nil"/>
              <w:left w:val="nil"/>
              <w:bottom w:val="single" w:sz="4" w:space="0" w:color="auto"/>
              <w:right w:val="single" w:sz="4" w:space="0" w:color="auto"/>
            </w:tcBorders>
            <w:shd w:val="clear" w:color="auto" w:fill="auto"/>
            <w:noWrap/>
            <w:vAlign w:val="bottom"/>
            <w:hideMark/>
          </w:tcPr>
          <w:p w14:paraId="19C1FBD3" w14:textId="77777777" w:rsidR="00C7337E" w:rsidRPr="00737ABA" w:rsidRDefault="00C7337E" w:rsidP="00E55C62">
            <w:pPr>
              <w:jc w:val="right"/>
              <w:rPr>
                <w:rFonts w:ascii="Arial Narrow" w:hAnsi="Arial Narrow" w:cs="Arial"/>
                <w:b/>
                <w:bCs/>
                <w:sz w:val="18"/>
                <w:szCs w:val="18"/>
              </w:rPr>
            </w:pPr>
            <w:r w:rsidRPr="00737ABA">
              <w:rPr>
                <w:rFonts w:ascii="Arial Narrow" w:hAnsi="Arial Narrow" w:cs="Arial"/>
                <w:b/>
                <w:bCs/>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14:paraId="41E68207" w14:textId="77777777" w:rsidR="00C7337E" w:rsidRPr="00737ABA" w:rsidRDefault="00C7337E" w:rsidP="00E55C62">
            <w:pPr>
              <w:jc w:val="right"/>
              <w:rPr>
                <w:rFonts w:ascii="Arial Narrow" w:hAnsi="Arial Narrow" w:cs="Arial"/>
                <w:b/>
                <w:bCs/>
                <w:sz w:val="18"/>
                <w:szCs w:val="18"/>
              </w:rPr>
            </w:pPr>
            <w:r w:rsidRPr="00737ABA">
              <w:rPr>
                <w:rFonts w:ascii="Arial Narrow" w:hAnsi="Arial Narrow" w:cs="Arial"/>
                <w:b/>
                <w:bCs/>
                <w:sz w:val="18"/>
                <w:szCs w:val="18"/>
              </w:rPr>
              <w:t>-17 337 092</w:t>
            </w:r>
          </w:p>
        </w:tc>
        <w:tc>
          <w:tcPr>
            <w:tcW w:w="820" w:type="dxa"/>
            <w:tcBorders>
              <w:top w:val="nil"/>
              <w:left w:val="nil"/>
              <w:bottom w:val="single" w:sz="4" w:space="0" w:color="auto"/>
              <w:right w:val="single" w:sz="4" w:space="0" w:color="auto"/>
            </w:tcBorders>
            <w:shd w:val="clear" w:color="auto" w:fill="auto"/>
            <w:noWrap/>
            <w:vAlign w:val="bottom"/>
            <w:hideMark/>
          </w:tcPr>
          <w:p w14:paraId="43171F1C" w14:textId="77777777" w:rsidR="00C7337E" w:rsidRPr="00737ABA" w:rsidRDefault="00C7337E" w:rsidP="00E55C62">
            <w:pPr>
              <w:jc w:val="right"/>
              <w:rPr>
                <w:rFonts w:ascii="Arial Narrow" w:hAnsi="Arial Narrow" w:cs="Arial"/>
                <w:b/>
                <w:bCs/>
                <w:sz w:val="18"/>
                <w:szCs w:val="18"/>
              </w:rPr>
            </w:pPr>
            <w:r w:rsidRPr="00737ABA">
              <w:rPr>
                <w:rFonts w:ascii="Arial Narrow" w:hAnsi="Arial Narrow" w:cs="Arial"/>
                <w:b/>
                <w:bCs/>
                <w:sz w:val="18"/>
                <w:szCs w:val="18"/>
              </w:rPr>
              <w:t>85%</w:t>
            </w:r>
          </w:p>
        </w:tc>
      </w:tr>
    </w:tbl>
    <w:p w14:paraId="203B63D7" w14:textId="77777777" w:rsidR="00737ABA" w:rsidRDefault="00737ABA" w:rsidP="00C7337E">
      <w:pPr>
        <w:ind w:firstLine="720"/>
        <w:jc w:val="both"/>
        <w:rPr>
          <w:rFonts w:ascii="Arial Narrow" w:hAnsi="Arial Narrow" w:cs="Arial"/>
          <w:sz w:val="22"/>
          <w:szCs w:val="22"/>
        </w:rPr>
      </w:pPr>
    </w:p>
    <w:p w14:paraId="6E12D075" w14:textId="77777777" w:rsidR="00355A20" w:rsidRPr="00355A20" w:rsidRDefault="00355A20" w:rsidP="00355A20">
      <w:pPr>
        <w:ind w:firstLine="720"/>
        <w:jc w:val="center"/>
        <w:rPr>
          <w:rFonts w:ascii="Arial Narrow" w:hAnsi="Arial Narrow" w:cs="Arial"/>
          <w:b/>
        </w:rPr>
      </w:pPr>
      <w:r w:rsidRPr="00355A20">
        <w:rPr>
          <w:rFonts w:ascii="Arial Narrow" w:hAnsi="Arial Narrow" w:cs="Arial"/>
          <w:b/>
        </w:rPr>
        <w:t>Pašvaldības izdevumu pa valdības funkcijām 2022.gadā (%)</w:t>
      </w:r>
    </w:p>
    <w:p w14:paraId="2E257554" w14:textId="77777777" w:rsidR="00355A20" w:rsidRDefault="00355A20" w:rsidP="00C7337E">
      <w:pPr>
        <w:ind w:firstLine="720"/>
        <w:jc w:val="both"/>
        <w:rPr>
          <w:rFonts w:ascii="Arial Narrow" w:hAnsi="Arial Narrow" w:cs="Arial"/>
          <w:sz w:val="22"/>
          <w:szCs w:val="22"/>
        </w:rPr>
      </w:pPr>
    </w:p>
    <w:p w14:paraId="30CEDF6F" w14:textId="0BB8D4D9" w:rsidR="00C7337E" w:rsidRDefault="00C7337E" w:rsidP="00737ABA">
      <w:pPr>
        <w:jc w:val="center"/>
        <w:rPr>
          <w:rFonts w:ascii="Arial Narrow" w:hAnsi="Arial Narrow" w:cs="Arial"/>
          <w:sz w:val="20"/>
          <w:szCs w:val="20"/>
        </w:rPr>
      </w:pPr>
      <w:r w:rsidRPr="00737ABA">
        <w:rPr>
          <w:rFonts w:ascii="Arial Narrow" w:hAnsi="Arial Narrow"/>
          <w:noProof/>
        </w:rPr>
        <w:drawing>
          <wp:anchor distT="0" distB="0" distL="114300" distR="114300" simplePos="0" relativeHeight="251659264" behindDoc="0" locked="0" layoutInCell="1" allowOverlap="1" wp14:anchorId="295A76C4" wp14:editId="5BBB2CCE">
            <wp:simplePos x="0" y="0"/>
            <wp:positionH relativeFrom="column">
              <wp:posOffset>44450</wp:posOffset>
            </wp:positionH>
            <wp:positionV relativeFrom="paragraph">
              <wp:posOffset>0</wp:posOffset>
            </wp:positionV>
            <wp:extent cx="6299835" cy="3977640"/>
            <wp:effectExtent l="38100" t="0" r="5715" b="3810"/>
            <wp:wrapSquare wrapText="bothSides"/>
            <wp:docPr id="449663918" name="Chart 449663918">
              <a:extLst xmlns:a="http://schemas.openxmlformats.org/drawingml/2006/main">
                <a:ext uri="{FF2B5EF4-FFF2-40B4-BE49-F238E27FC236}">
                  <a16:creationId xmlns:a16="http://schemas.microsoft.com/office/drawing/2014/main" id="{6D869FDC-074D-47C3-B370-6B386BBE4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Pr="00737ABA">
        <w:rPr>
          <w:rFonts w:ascii="Arial Narrow" w:hAnsi="Arial Narrow" w:cs="Arial"/>
          <w:i/>
          <w:sz w:val="20"/>
          <w:szCs w:val="20"/>
        </w:rPr>
        <w:t xml:space="preserve">Attēls Nr. 1.2.2. Pamatbudžeta izdevumi pa valdības funkcijām 2022. </w:t>
      </w:r>
      <w:r w:rsidRPr="007B0CC7">
        <w:rPr>
          <w:rFonts w:ascii="Arial Narrow" w:hAnsi="Arial Narrow" w:cs="Arial"/>
          <w:i/>
          <w:sz w:val="20"/>
          <w:szCs w:val="20"/>
        </w:rPr>
        <w:t>gadā</w:t>
      </w:r>
      <w:r w:rsidR="007B0CC7" w:rsidRPr="007B0CC7">
        <w:rPr>
          <w:rFonts w:ascii="Arial Narrow" w:hAnsi="Arial Narrow" w:cs="Arial"/>
          <w:sz w:val="20"/>
          <w:szCs w:val="20"/>
        </w:rPr>
        <w:t xml:space="preserve"> (%)</w:t>
      </w:r>
    </w:p>
    <w:p w14:paraId="780CB22E" w14:textId="77777777" w:rsidR="001D652D" w:rsidRPr="00737ABA" w:rsidRDefault="001D652D" w:rsidP="00737ABA">
      <w:pPr>
        <w:jc w:val="center"/>
        <w:rPr>
          <w:rFonts w:ascii="Arial Narrow" w:hAnsi="Arial Narrow" w:cs="Arial"/>
          <w:color w:val="FF0000"/>
          <w:sz w:val="20"/>
          <w:szCs w:val="20"/>
        </w:rPr>
      </w:pPr>
    </w:p>
    <w:p w14:paraId="41EE0F31" w14:textId="77777777" w:rsidR="00C7337E" w:rsidRPr="00737ABA" w:rsidRDefault="00C7337E" w:rsidP="00C7337E">
      <w:pPr>
        <w:numPr>
          <w:ilvl w:val="1"/>
          <w:numId w:val="1"/>
        </w:numPr>
        <w:jc w:val="both"/>
        <w:rPr>
          <w:rFonts w:ascii="Arial Narrow" w:hAnsi="Arial Narrow" w:cs="Arial"/>
          <w:b/>
        </w:rPr>
      </w:pPr>
      <w:r w:rsidRPr="00737ABA">
        <w:rPr>
          <w:rFonts w:ascii="Arial Narrow" w:hAnsi="Arial Narrow" w:cs="Arial"/>
          <w:b/>
        </w:rPr>
        <w:lastRenderedPageBreak/>
        <w:t>Finansēšana</w:t>
      </w:r>
    </w:p>
    <w:p w14:paraId="64C997C0" w14:textId="77777777" w:rsidR="00C7337E" w:rsidRPr="00737ABA" w:rsidRDefault="00C7337E" w:rsidP="00C7337E">
      <w:pPr>
        <w:ind w:left="426"/>
        <w:jc w:val="both"/>
        <w:rPr>
          <w:rFonts w:ascii="Arial Narrow" w:hAnsi="Arial Narrow" w:cs="Arial"/>
          <w:b/>
        </w:rPr>
      </w:pPr>
    </w:p>
    <w:p w14:paraId="24CF8F7F" w14:textId="77777777" w:rsidR="00C7337E" w:rsidRPr="00737ABA" w:rsidRDefault="00C7337E" w:rsidP="00C7337E">
      <w:pPr>
        <w:ind w:firstLine="426"/>
        <w:jc w:val="both"/>
        <w:rPr>
          <w:rFonts w:ascii="Arial Narrow" w:hAnsi="Arial Narrow" w:cs="Arial"/>
          <w:sz w:val="22"/>
          <w:szCs w:val="22"/>
        </w:rPr>
      </w:pPr>
      <w:r w:rsidRPr="00737ABA">
        <w:rPr>
          <w:rFonts w:ascii="Arial Narrow" w:hAnsi="Arial Narrow" w:cs="Arial"/>
          <w:bCs/>
          <w:color w:val="000000"/>
          <w:sz w:val="22"/>
          <w:szCs w:val="22"/>
        </w:rPr>
        <w:t xml:space="preserve">Lai nodrošinātu nepieciešamos finanšu resursus Pašvaldības investīciju projektu līdzfinansēšanai, pārskata gadā iespēju robežās tika turpināts īstenot ilgtermiņa aizņēmumu stratēģiju. </w:t>
      </w:r>
      <w:r w:rsidRPr="00737ABA">
        <w:rPr>
          <w:rFonts w:ascii="Arial Narrow" w:hAnsi="Arial Narrow" w:cs="Arial"/>
          <w:sz w:val="22"/>
          <w:szCs w:val="22"/>
        </w:rPr>
        <w:t xml:space="preserve">2022. gadā saņemti Valsts kases aizņēmumi 9,3 miljonu </w:t>
      </w:r>
      <w:r w:rsidRPr="00737ABA">
        <w:rPr>
          <w:rFonts w:ascii="Arial Narrow" w:hAnsi="Arial Narrow" w:cs="Arial"/>
          <w:i/>
          <w:sz w:val="22"/>
          <w:szCs w:val="22"/>
        </w:rPr>
        <w:t>euro</w:t>
      </w:r>
      <w:r w:rsidRPr="00737ABA">
        <w:rPr>
          <w:rFonts w:ascii="Arial Narrow" w:hAnsi="Arial Narrow" w:cs="Arial"/>
          <w:sz w:val="22"/>
          <w:szCs w:val="22"/>
        </w:rPr>
        <w:t xml:space="preserve"> apmērā un veikta aizņēmumu atmaksa 4,79 miljonu </w:t>
      </w:r>
      <w:r w:rsidRPr="00737ABA">
        <w:rPr>
          <w:rFonts w:ascii="Arial Narrow" w:hAnsi="Arial Narrow" w:cs="Arial"/>
          <w:i/>
          <w:sz w:val="22"/>
          <w:szCs w:val="22"/>
        </w:rPr>
        <w:t>euro</w:t>
      </w:r>
      <w:r w:rsidRPr="00737ABA">
        <w:rPr>
          <w:rFonts w:ascii="Arial Narrow" w:hAnsi="Arial Narrow" w:cs="Arial"/>
          <w:sz w:val="22"/>
          <w:szCs w:val="22"/>
        </w:rPr>
        <w:t xml:space="preserve"> apmērā, kas atbilst noslēgtajiem līgumiem un atmaksas grafikiem. </w:t>
      </w:r>
    </w:p>
    <w:p w14:paraId="49C0C072" w14:textId="77777777" w:rsidR="00C7337E" w:rsidRPr="00737ABA" w:rsidRDefault="00C7337E" w:rsidP="00C7337E">
      <w:pPr>
        <w:ind w:firstLine="426"/>
        <w:jc w:val="both"/>
        <w:rPr>
          <w:rFonts w:ascii="Arial Narrow" w:hAnsi="Arial Narrow" w:cs="Arial"/>
          <w:bCs/>
          <w:color w:val="000000"/>
          <w:sz w:val="22"/>
          <w:szCs w:val="22"/>
        </w:rPr>
      </w:pPr>
      <w:r w:rsidRPr="00737ABA">
        <w:rPr>
          <w:rFonts w:ascii="Arial Narrow" w:hAnsi="Arial Narrow" w:cs="Arial"/>
          <w:bCs/>
          <w:color w:val="000000"/>
          <w:sz w:val="22"/>
          <w:szCs w:val="22"/>
        </w:rPr>
        <w:t>Pašvaldības ilgtermiņa aizņēmumu (ieskaitot procentu maksājumus par aizņēmumiem) saistību apjoms uz atskaites perioda beigām sastāda 5,97 % no pamatbudžeta ieņēmumiem (bez mērķdotācijām un iemaksām pašvaldību finanšu izlīdzināšanas fondā).</w:t>
      </w:r>
    </w:p>
    <w:p w14:paraId="02A3AFEE" w14:textId="77777777" w:rsidR="00C7337E" w:rsidRPr="00737ABA" w:rsidRDefault="00C7337E" w:rsidP="00C7337E">
      <w:pPr>
        <w:tabs>
          <w:tab w:val="num" w:pos="540"/>
        </w:tabs>
        <w:jc w:val="both"/>
        <w:rPr>
          <w:rFonts w:ascii="Arial Narrow" w:hAnsi="Arial Narrow" w:cs="Arial"/>
          <w:b/>
          <w:color w:val="000000"/>
        </w:rPr>
      </w:pPr>
      <w:r w:rsidRPr="00737ABA">
        <w:rPr>
          <w:rFonts w:ascii="Arial Narrow" w:hAnsi="Arial Narrow" w:cs="Arial"/>
          <w:b/>
        </w:rPr>
        <w:tab/>
      </w:r>
      <w:r w:rsidRPr="00737ABA">
        <w:rPr>
          <w:rFonts w:ascii="Arial Narrow" w:hAnsi="Arial Narrow" w:cs="Arial"/>
          <w:b/>
        </w:rPr>
        <w:tab/>
      </w:r>
      <w:r w:rsidRPr="00737ABA">
        <w:rPr>
          <w:rFonts w:ascii="Arial Narrow" w:hAnsi="Arial Narrow" w:cs="Arial"/>
          <w:b/>
          <w:color w:val="000000"/>
        </w:rPr>
        <w:tab/>
      </w:r>
    </w:p>
    <w:p w14:paraId="5CA1011F" w14:textId="77777777" w:rsidR="00C7337E" w:rsidRPr="00737ABA" w:rsidRDefault="00C7337E" w:rsidP="00C7337E">
      <w:pPr>
        <w:numPr>
          <w:ilvl w:val="0"/>
          <w:numId w:val="1"/>
        </w:numPr>
        <w:jc w:val="both"/>
        <w:rPr>
          <w:rFonts w:ascii="Arial Narrow" w:hAnsi="Arial Narrow" w:cs="Arial"/>
        </w:rPr>
      </w:pPr>
      <w:r w:rsidRPr="00737ABA">
        <w:rPr>
          <w:rFonts w:ascii="Arial Narrow" w:hAnsi="Arial Narrow" w:cs="Arial"/>
          <w:b/>
          <w:bCs/>
        </w:rPr>
        <w:t>Ziedojumi un dāvinājumi</w:t>
      </w:r>
    </w:p>
    <w:p w14:paraId="27B4DCEE" w14:textId="77777777" w:rsidR="00C7337E" w:rsidRPr="00737ABA" w:rsidRDefault="00C7337E" w:rsidP="00C7337E">
      <w:pPr>
        <w:ind w:left="360"/>
        <w:jc w:val="both"/>
        <w:rPr>
          <w:rFonts w:ascii="Arial Narrow" w:hAnsi="Arial Narrow" w:cs="Arial"/>
          <w:sz w:val="22"/>
          <w:szCs w:val="22"/>
        </w:rPr>
      </w:pPr>
    </w:p>
    <w:p w14:paraId="608C58B2" w14:textId="77777777" w:rsidR="00C7337E" w:rsidRPr="00737ABA" w:rsidRDefault="00C7337E" w:rsidP="00C7337E">
      <w:pPr>
        <w:autoSpaceDE w:val="0"/>
        <w:autoSpaceDN w:val="0"/>
        <w:adjustRightInd w:val="0"/>
        <w:ind w:firstLine="540"/>
        <w:jc w:val="both"/>
        <w:rPr>
          <w:rFonts w:ascii="Arial Narrow" w:hAnsi="Arial Narrow" w:cs="Arial"/>
          <w:sz w:val="22"/>
          <w:szCs w:val="22"/>
        </w:rPr>
      </w:pPr>
      <w:r w:rsidRPr="00737ABA">
        <w:rPr>
          <w:rFonts w:ascii="Arial Narrow" w:hAnsi="Arial Narrow" w:cs="Arial"/>
          <w:sz w:val="22"/>
          <w:szCs w:val="22"/>
        </w:rPr>
        <w:t xml:space="preserve">Ziedojuma un dāvinājuma budžeta līdzekļi ietver līdzekļus, ko Pašvaldība vai tās iestādes ir saņēmušas ziedojumu vai dāvinājumu veidā ar norādītu mērķi vai bez tā. </w:t>
      </w:r>
    </w:p>
    <w:p w14:paraId="03339463" w14:textId="77777777" w:rsidR="00C7337E" w:rsidRPr="00737ABA" w:rsidRDefault="00C7337E" w:rsidP="00C7337E">
      <w:pPr>
        <w:autoSpaceDE w:val="0"/>
        <w:autoSpaceDN w:val="0"/>
        <w:adjustRightInd w:val="0"/>
        <w:ind w:firstLine="540"/>
        <w:jc w:val="both"/>
        <w:rPr>
          <w:rFonts w:ascii="Arial Narrow" w:hAnsi="Arial Narrow" w:cs="Arial"/>
          <w:sz w:val="22"/>
          <w:szCs w:val="22"/>
        </w:rPr>
      </w:pPr>
      <w:r w:rsidRPr="00737ABA">
        <w:rPr>
          <w:rFonts w:ascii="Arial Narrow" w:hAnsi="Arial Narrow" w:cs="Arial"/>
          <w:sz w:val="22"/>
          <w:szCs w:val="22"/>
        </w:rPr>
        <w:t>Pārskata periodā ziedojumu un dāvinājumu līdzekļi saņemti 37,2 tūkstošu</w:t>
      </w:r>
      <w:r w:rsidRPr="00737ABA">
        <w:rPr>
          <w:rFonts w:ascii="Arial Narrow" w:hAnsi="Arial Narrow" w:cs="Arial"/>
          <w:i/>
          <w:iCs/>
          <w:sz w:val="22"/>
          <w:szCs w:val="22"/>
        </w:rPr>
        <w:t xml:space="preserve"> euro</w:t>
      </w:r>
      <w:r w:rsidRPr="00737ABA">
        <w:rPr>
          <w:rFonts w:ascii="Arial Narrow" w:hAnsi="Arial Narrow" w:cs="Arial"/>
          <w:sz w:val="22"/>
          <w:szCs w:val="22"/>
        </w:rPr>
        <w:t xml:space="preserve"> apmērā un izlietoti atbilstoši norādītajiem mērķiem 18,1 tūkstoša  </w:t>
      </w:r>
      <w:r w:rsidRPr="00737ABA">
        <w:rPr>
          <w:rFonts w:ascii="Arial Narrow" w:hAnsi="Arial Narrow" w:cs="Arial"/>
          <w:i/>
          <w:sz w:val="22"/>
          <w:szCs w:val="22"/>
        </w:rPr>
        <w:t xml:space="preserve">euro </w:t>
      </w:r>
      <w:r w:rsidRPr="00737ABA">
        <w:rPr>
          <w:rFonts w:ascii="Arial Narrow" w:hAnsi="Arial Narrow" w:cs="Arial"/>
          <w:sz w:val="22"/>
          <w:szCs w:val="22"/>
        </w:rPr>
        <w:t>apmērā.</w:t>
      </w:r>
    </w:p>
    <w:p w14:paraId="6CD046C5" w14:textId="77777777" w:rsidR="00C7337E" w:rsidRPr="00737ABA" w:rsidRDefault="00C7337E" w:rsidP="00C7337E">
      <w:pPr>
        <w:autoSpaceDE w:val="0"/>
        <w:autoSpaceDN w:val="0"/>
        <w:adjustRightInd w:val="0"/>
        <w:jc w:val="both"/>
        <w:rPr>
          <w:rFonts w:ascii="Arial Narrow" w:hAnsi="Arial Narrow" w:cs="Arial"/>
          <w:b/>
        </w:rPr>
      </w:pPr>
    </w:p>
    <w:p w14:paraId="0D37E53D" w14:textId="77777777" w:rsidR="00C7337E" w:rsidRPr="00737ABA" w:rsidRDefault="00C7337E" w:rsidP="00C7337E">
      <w:pPr>
        <w:numPr>
          <w:ilvl w:val="0"/>
          <w:numId w:val="1"/>
        </w:numPr>
        <w:tabs>
          <w:tab w:val="left" w:pos="540"/>
        </w:tabs>
        <w:spacing w:after="120"/>
        <w:jc w:val="both"/>
        <w:rPr>
          <w:rFonts w:ascii="Arial Narrow" w:hAnsi="Arial Narrow" w:cs="Arial"/>
          <w:b/>
        </w:rPr>
      </w:pPr>
      <w:r w:rsidRPr="00737ABA">
        <w:rPr>
          <w:rFonts w:ascii="Arial Narrow" w:hAnsi="Arial Narrow" w:cs="Arial"/>
          <w:b/>
        </w:rPr>
        <w:t>Citi budžeta līdzekļi</w:t>
      </w:r>
    </w:p>
    <w:p w14:paraId="34620E55" w14:textId="77777777" w:rsidR="00C7337E" w:rsidRPr="00737ABA" w:rsidRDefault="00C7337E" w:rsidP="00C7337E">
      <w:pPr>
        <w:tabs>
          <w:tab w:val="left" w:pos="540"/>
        </w:tabs>
        <w:spacing w:after="120"/>
        <w:ind w:firstLine="720"/>
        <w:jc w:val="both"/>
        <w:rPr>
          <w:rFonts w:ascii="Arial Narrow" w:hAnsi="Arial Narrow" w:cs="Arial"/>
          <w:sz w:val="22"/>
          <w:szCs w:val="22"/>
        </w:rPr>
      </w:pPr>
      <w:r w:rsidRPr="00737ABA">
        <w:rPr>
          <w:rFonts w:ascii="Arial Narrow" w:hAnsi="Arial Narrow" w:cs="Arial"/>
          <w:sz w:val="22"/>
          <w:szCs w:val="22"/>
        </w:rPr>
        <w:t xml:space="preserve">Atbilstoši Valsts kases pārskatu sagatavošanas prasībām un Latvijas Republikas Finanšu ministrijas norādījumiem no pamatbudžeta nodalīta citu budžeta līdzekļu uzskaite, tai skaitā kļūdaini iemaksātie naudas līdzekļi, drošības nauda, kā arī pansionāta „Valmiera” iemītniekiem izmaksājamās pensijas. 2022. gadā pansionāta „Valmiera” un sociālā aprūpes centra “Lode’ iemītniekiem izmaksājamās pensijas saņemtas un izmaksātas 120 tūkstošu </w:t>
      </w:r>
      <w:r w:rsidRPr="00737ABA">
        <w:rPr>
          <w:rFonts w:ascii="Arial Narrow" w:hAnsi="Arial Narrow" w:cs="Arial"/>
          <w:i/>
          <w:sz w:val="22"/>
          <w:szCs w:val="22"/>
        </w:rPr>
        <w:t>euro</w:t>
      </w:r>
      <w:r w:rsidRPr="00737ABA">
        <w:rPr>
          <w:rFonts w:ascii="Arial Narrow" w:hAnsi="Arial Narrow" w:cs="Arial"/>
          <w:sz w:val="22"/>
          <w:szCs w:val="22"/>
        </w:rPr>
        <w:t xml:space="preserve"> apmērā. Citu budžetu līdzekļu  atlikums uz 31.12.2022. sastāda 45.26 tūkstošus </w:t>
      </w:r>
      <w:r w:rsidRPr="00737ABA">
        <w:rPr>
          <w:rFonts w:ascii="Arial Narrow" w:hAnsi="Arial Narrow" w:cs="Arial"/>
          <w:i/>
          <w:iCs/>
          <w:sz w:val="22"/>
          <w:szCs w:val="22"/>
        </w:rPr>
        <w:t>euro.</w:t>
      </w:r>
    </w:p>
    <w:p w14:paraId="30CC9D0F" w14:textId="77777777" w:rsidR="00C7337E" w:rsidRPr="00737ABA" w:rsidRDefault="00C7337E" w:rsidP="00C7337E">
      <w:pPr>
        <w:numPr>
          <w:ilvl w:val="0"/>
          <w:numId w:val="1"/>
        </w:numPr>
        <w:tabs>
          <w:tab w:val="left" w:pos="540"/>
        </w:tabs>
        <w:spacing w:after="120"/>
        <w:jc w:val="both"/>
        <w:rPr>
          <w:rFonts w:ascii="Arial Narrow" w:hAnsi="Arial Narrow" w:cs="Arial"/>
          <w:b/>
        </w:rPr>
      </w:pPr>
      <w:r w:rsidRPr="00737ABA">
        <w:rPr>
          <w:rFonts w:ascii="Arial Narrow" w:hAnsi="Arial Narrow" w:cs="Arial"/>
          <w:b/>
        </w:rPr>
        <w:t>Pārējā informācija</w:t>
      </w:r>
    </w:p>
    <w:p w14:paraId="34B21B8C" w14:textId="77777777" w:rsidR="00C7337E" w:rsidRPr="00737ABA" w:rsidRDefault="00C7337E" w:rsidP="00C7337E">
      <w:pPr>
        <w:tabs>
          <w:tab w:val="left" w:pos="540"/>
        </w:tabs>
        <w:spacing w:after="120"/>
        <w:ind w:firstLine="720"/>
        <w:jc w:val="both"/>
        <w:rPr>
          <w:rFonts w:ascii="Arial Narrow" w:hAnsi="Arial Narrow" w:cs="Arial"/>
          <w:sz w:val="22"/>
          <w:szCs w:val="22"/>
        </w:rPr>
      </w:pPr>
      <w:r w:rsidRPr="00737ABA">
        <w:rPr>
          <w:rFonts w:ascii="Arial Narrow" w:hAnsi="Arial Narrow" w:cs="Arial"/>
          <w:sz w:val="22"/>
          <w:szCs w:val="22"/>
        </w:rPr>
        <w:t xml:space="preserve">Kopējais parāds Valmieras pilsētas pašvaldības budžetam (debitori un īstermiņa finanšu ieguldījumi) uz 2022. gada 31. decembri bija 2,77 miljoni </w:t>
      </w:r>
      <w:r w:rsidRPr="00737ABA">
        <w:rPr>
          <w:rFonts w:ascii="Arial Narrow" w:hAnsi="Arial Narrow" w:cs="Arial"/>
          <w:i/>
          <w:sz w:val="22"/>
          <w:szCs w:val="22"/>
        </w:rPr>
        <w:t>euro</w:t>
      </w:r>
      <w:r w:rsidRPr="00737ABA">
        <w:rPr>
          <w:rFonts w:ascii="Arial Narrow" w:hAnsi="Arial Narrow" w:cs="Arial"/>
          <w:sz w:val="22"/>
          <w:szCs w:val="22"/>
        </w:rPr>
        <w:t xml:space="preserve">, kas ir par 86 tūkstošiem </w:t>
      </w:r>
      <w:r w:rsidRPr="00737ABA">
        <w:rPr>
          <w:rFonts w:ascii="Arial Narrow" w:hAnsi="Arial Narrow" w:cs="Arial"/>
          <w:i/>
          <w:sz w:val="22"/>
          <w:szCs w:val="22"/>
        </w:rPr>
        <w:t>euro</w:t>
      </w:r>
      <w:r w:rsidRPr="00737ABA">
        <w:rPr>
          <w:rFonts w:ascii="Arial Narrow" w:hAnsi="Arial Narrow" w:cs="Arial"/>
          <w:sz w:val="22"/>
          <w:szCs w:val="22"/>
        </w:rPr>
        <w:t xml:space="preserve"> vairāk nekā uz 2022. gada 1. janvāri.</w:t>
      </w:r>
    </w:p>
    <w:p w14:paraId="2FD78E32" w14:textId="77777777" w:rsidR="00C7337E" w:rsidRPr="00737ABA" w:rsidRDefault="00C7337E" w:rsidP="00C7337E">
      <w:pPr>
        <w:autoSpaceDE w:val="0"/>
        <w:autoSpaceDN w:val="0"/>
        <w:adjustRightInd w:val="0"/>
        <w:spacing w:after="120"/>
        <w:ind w:firstLine="540"/>
        <w:jc w:val="both"/>
        <w:rPr>
          <w:rFonts w:ascii="Arial Narrow" w:hAnsi="Arial Narrow" w:cs="Arial"/>
          <w:sz w:val="22"/>
          <w:szCs w:val="22"/>
        </w:rPr>
      </w:pPr>
      <w:r w:rsidRPr="00737ABA">
        <w:rPr>
          <w:rFonts w:ascii="Arial Narrow" w:hAnsi="Arial Narrow" w:cs="Arial"/>
          <w:sz w:val="22"/>
          <w:szCs w:val="22"/>
        </w:rPr>
        <w:t xml:space="preserve">Norēķini par </w:t>
      </w:r>
      <w:proofErr w:type="spellStart"/>
      <w:r w:rsidRPr="00737ABA">
        <w:rPr>
          <w:rFonts w:ascii="Arial Narrow" w:hAnsi="Arial Narrow" w:cs="Arial"/>
          <w:sz w:val="22"/>
          <w:szCs w:val="22"/>
        </w:rPr>
        <w:t>NĪN</w:t>
      </w:r>
      <w:proofErr w:type="spellEnd"/>
      <w:r w:rsidRPr="00737ABA">
        <w:rPr>
          <w:rFonts w:ascii="Arial Narrow" w:hAnsi="Arial Narrow" w:cs="Arial"/>
          <w:sz w:val="22"/>
          <w:szCs w:val="22"/>
        </w:rPr>
        <w:t xml:space="preserve"> ēkām, mājokļiem un zemi (kārtējā gada aprēķins un kavētie maksājumi, bez uzkrājuma šaubīgajiem debitoru parādiem) debitoru sastāvā uz pārskata perioda beigām iekļauti 420 tūkstoši </w:t>
      </w:r>
      <w:r w:rsidRPr="00737ABA">
        <w:rPr>
          <w:rFonts w:ascii="Arial Narrow" w:hAnsi="Arial Narrow" w:cs="Arial"/>
          <w:i/>
          <w:sz w:val="22"/>
          <w:szCs w:val="22"/>
        </w:rPr>
        <w:t>euro</w:t>
      </w:r>
      <w:r w:rsidRPr="00737ABA">
        <w:rPr>
          <w:rFonts w:ascii="Arial Narrow" w:hAnsi="Arial Narrow" w:cs="Arial"/>
          <w:sz w:val="22"/>
          <w:szCs w:val="22"/>
        </w:rPr>
        <w:t xml:space="preserve"> apmērā (uz 2022. gada sākumu - 515,4 tūkstoši </w:t>
      </w:r>
      <w:r w:rsidRPr="00737ABA">
        <w:rPr>
          <w:rFonts w:ascii="Arial Narrow" w:hAnsi="Arial Narrow" w:cs="Arial"/>
          <w:i/>
          <w:sz w:val="22"/>
          <w:szCs w:val="22"/>
        </w:rPr>
        <w:t>euro</w:t>
      </w:r>
      <w:r w:rsidRPr="00737ABA">
        <w:rPr>
          <w:rFonts w:ascii="Arial Narrow" w:hAnsi="Arial Narrow" w:cs="Arial"/>
          <w:sz w:val="22"/>
          <w:szCs w:val="22"/>
        </w:rPr>
        <w:t xml:space="preserve">). Iedzīvotāji par saņemtajiem dzīvokļu un komunālajiem pakalpojumiem uz 2022. gada 31. decembri nav nomaksājuši 801,4 tūkstošus </w:t>
      </w:r>
      <w:r w:rsidRPr="00737ABA">
        <w:rPr>
          <w:rFonts w:ascii="Arial Narrow" w:hAnsi="Arial Narrow" w:cs="Arial"/>
          <w:i/>
          <w:sz w:val="22"/>
          <w:szCs w:val="22"/>
        </w:rPr>
        <w:t>euro</w:t>
      </w:r>
      <w:r w:rsidRPr="00737ABA">
        <w:rPr>
          <w:rFonts w:ascii="Arial Narrow" w:hAnsi="Arial Narrow" w:cs="Arial"/>
          <w:sz w:val="22"/>
          <w:szCs w:val="22"/>
        </w:rPr>
        <w:t xml:space="preserve">. Par izglītības iestāžu sniegtajiem maksas pakalpojumiem uz pārskata perioda beigām nav nomaksāti 144,8 tūkstoši </w:t>
      </w:r>
      <w:r w:rsidRPr="00737ABA">
        <w:rPr>
          <w:rFonts w:ascii="Arial Narrow" w:hAnsi="Arial Narrow" w:cs="Arial"/>
          <w:i/>
          <w:sz w:val="22"/>
          <w:szCs w:val="22"/>
        </w:rPr>
        <w:t>euro</w:t>
      </w:r>
      <w:r w:rsidRPr="00737ABA">
        <w:rPr>
          <w:rFonts w:ascii="Arial Narrow" w:hAnsi="Arial Narrow" w:cs="Arial"/>
          <w:sz w:val="22"/>
          <w:szCs w:val="22"/>
        </w:rPr>
        <w:t xml:space="preserve">. Pansionāta „Valmiera” un sociālās aprūpes centra “Lode” sniegtie maksas pakalpojumi uz 2022. gada 31. decembri nav apmaksāti 88,9 tūkstoši </w:t>
      </w:r>
      <w:r w:rsidRPr="00737ABA">
        <w:rPr>
          <w:rFonts w:ascii="Arial Narrow" w:hAnsi="Arial Narrow" w:cs="Arial"/>
          <w:i/>
          <w:sz w:val="22"/>
          <w:szCs w:val="22"/>
        </w:rPr>
        <w:t>euro</w:t>
      </w:r>
      <w:r w:rsidRPr="00737ABA">
        <w:rPr>
          <w:rFonts w:ascii="Arial Narrow" w:hAnsi="Arial Narrow" w:cs="Arial"/>
          <w:sz w:val="22"/>
          <w:szCs w:val="22"/>
        </w:rPr>
        <w:t xml:space="preserve"> apmērā. </w:t>
      </w:r>
    </w:p>
    <w:p w14:paraId="7B76E0D0" w14:textId="77777777" w:rsidR="00C7337E" w:rsidRPr="00737ABA" w:rsidRDefault="00C7337E" w:rsidP="00C7337E">
      <w:pPr>
        <w:autoSpaceDE w:val="0"/>
        <w:autoSpaceDN w:val="0"/>
        <w:adjustRightInd w:val="0"/>
        <w:spacing w:after="120"/>
        <w:ind w:firstLine="540"/>
        <w:jc w:val="both"/>
        <w:rPr>
          <w:rFonts w:ascii="Arial Narrow" w:hAnsi="Arial Narrow" w:cs="Arial"/>
          <w:sz w:val="22"/>
          <w:szCs w:val="22"/>
        </w:rPr>
      </w:pPr>
      <w:r w:rsidRPr="00737ABA">
        <w:rPr>
          <w:rFonts w:ascii="Arial Narrow" w:hAnsi="Arial Narrow" w:cs="Arial"/>
          <w:sz w:val="22"/>
          <w:szCs w:val="22"/>
        </w:rPr>
        <w:t xml:space="preserve">Īstermiņa kreditoru parādi (norēķini ar piegādātājiem, tajā skaitā radniecīgie un asociētie uzņēmumi un pārējās īstermiņa saistības) uz </w:t>
      </w:r>
      <w:r w:rsidRPr="00737ABA">
        <w:rPr>
          <w:rFonts w:ascii="Arial Narrow" w:hAnsi="Arial Narrow" w:cs="Arial"/>
          <w:color w:val="000000"/>
          <w:sz w:val="22"/>
          <w:szCs w:val="22"/>
        </w:rPr>
        <w:t>2022. gada 31. decembrī</w:t>
      </w:r>
      <w:r w:rsidRPr="00737ABA">
        <w:rPr>
          <w:rFonts w:ascii="Arial Narrow" w:hAnsi="Arial Narrow" w:cs="Arial"/>
          <w:sz w:val="22"/>
          <w:szCs w:val="22"/>
        </w:rPr>
        <w:t xml:space="preserve"> bija 4,02 miljoni </w:t>
      </w:r>
      <w:r w:rsidRPr="00737ABA">
        <w:rPr>
          <w:rFonts w:ascii="Arial Narrow" w:hAnsi="Arial Narrow" w:cs="Arial"/>
          <w:i/>
          <w:sz w:val="22"/>
          <w:szCs w:val="22"/>
        </w:rPr>
        <w:t>euro</w:t>
      </w:r>
      <w:r w:rsidRPr="00737ABA">
        <w:rPr>
          <w:rFonts w:ascii="Arial Narrow" w:hAnsi="Arial Narrow" w:cs="Arial"/>
          <w:sz w:val="22"/>
          <w:szCs w:val="22"/>
        </w:rPr>
        <w:t xml:space="preserve"> apmērā, kas ir par 128,6 tūkstošiem  </w:t>
      </w:r>
      <w:r w:rsidRPr="00737ABA">
        <w:rPr>
          <w:rFonts w:ascii="Arial Narrow" w:hAnsi="Arial Narrow" w:cs="Arial"/>
          <w:i/>
          <w:sz w:val="22"/>
          <w:szCs w:val="22"/>
        </w:rPr>
        <w:t>euro</w:t>
      </w:r>
      <w:r w:rsidRPr="00737ABA">
        <w:rPr>
          <w:rFonts w:ascii="Arial Narrow" w:hAnsi="Arial Narrow" w:cs="Arial"/>
          <w:sz w:val="22"/>
          <w:szCs w:val="22"/>
        </w:rPr>
        <w:t xml:space="preserve"> mazāk nekā uz 2022. gada sākumu.</w:t>
      </w:r>
    </w:p>
    <w:p w14:paraId="1A9B84CD" w14:textId="77777777" w:rsidR="00C7337E" w:rsidRPr="00737ABA" w:rsidRDefault="00C7337E" w:rsidP="00C7337E">
      <w:pPr>
        <w:autoSpaceDE w:val="0"/>
        <w:autoSpaceDN w:val="0"/>
        <w:adjustRightInd w:val="0"/>
        <w:spacing w:after="120"/>
        <w:ind w:firstLine="540"/>
        <w:jc w:val="both"/>
        <w:rPr>
          <w:rFonts w:ascii="Arial Narrow" w:hAnsi="Arial Narrow" w:cs="Arial"/>
          <w:i/>
          <w:sz w:val="22"/>
          <w:szCs w:val="22"/>
        </w:rPr>
      </w:pPr>
      <w:r w:rsidRPr="00737ABA">
        <w:rPr>
          <w:rFonts w:ascii="Arial Narrow" w:hAnsi="Arial Narrow" w:cs="Arial"/>
          <w:sz w:val="22"/>
          <w:szCs w:val="22"/>
        </w:rPr>
        <w:t xml:space="preserve">Ilgtermiņa kredītsaistības (kredītiestādes, piegādātāji un ilgtermiņa saistības par ES fondu un citu finanšu instrumentu projektiem) uz 2022. gada 31. decembri sastāda 63,8 miljoni </w:t>
      </w:r>
      <w:r w:rsidRPr="00737ABA">
        <w:rPr>
          <w:rFonts w:ascii="Arial Narrow" w:hAnsi="Arial Narrow" w:cs="Arial"/>
          <w:i/>
          <w:sz w:val="22"/>
          <w:szCs w:val="22"/>
        </w:rPr>
        <w:t>euro</w:t>
      </w:r>
      <w:r w:rsidRPr="00737ABA">
        <w:rPr>
          <w:rFonts w:ascii="Arial Narrow" w:hAnsi="Arial Narrow" w:cs="Arial"/>
          <w:sz w:val="22"/>
          <w:szCs w:val="22"/>
        </w:rPr>
        <w:t xml:space="preserve">, kas ir par 4,06 miljoniem </w:t>
      </w:r>
      <w:r w:rsidRPr="00737ABA">
        <w:rPr>
          <w:rFonts w:ascii="Arial Narrow" w:hAnsi="Arial Narrow" w:cs="Arial"/>
          <w:i/>
          <w:sz w:val="22"/>
          <w:szCs w:val="22"/>
        </w:rPr>
        <w:t>euro</w:t>
      </w:r>
      <w:r w:rsidRPr="00737ABA">
        <w:rPr>
          <w:rFonts w:ascii="Arial Narrow" w:hAnsi="Arial Narrow" w:cs="Arial"/>
          <w:sz w:val="22"/>
          <w:szCs w:val="22"/>
        </w:rPr>
        <w:t xml:space="preserve"> vairāk nekā uz gada sākumu. </w:t>
      </w:r>
    </w:p>
    <w:p w14:paraId="5B425C0D" w14:textId="77777777" w:rsidR="00C7337E" w:rsidRPr="00737ABA" w:rsidRDefault="00C7337E" w:rsidP="00C7337E">
      <w:pPr>
        <w:rPr>
          <w:rFonts w:ascii="Arial Narrow" w:hAnsi="Arial Narrow"/>
          <w:sz w:val="22"/>
          <w:szCs w:val="22"/>
        </w:rPr>
      </w:pPr>
    </w:p>
    <w:p w14:paraId="1BD245AD" w14:textId="77777777" w:rsidR="00C7337E" w:rsidRPr="00737ABA" w:rsidRDefault="00C7337E" w:rsidP="00C7337E">
      <w:pPr>
        <w:rPr>
          <w:rFonts w:ascii="Arial Narrow" w:hAnsi="Arial Narrow"/>
          <w:sz w:val="22"/>
          <w:szCs w:val="22"/>
        </w:rPr>
      </w:pPr>
    </w:p>
    <w:p w14:paraId="6E5A1C5E" w14:textId="0A2C42D9" w:rsidR="00213DF6" w:rsidRPr="00737ABA" w:rsidRDefault="00C7337E" w:rsidP="00394A1E">
      <w:pPr>
        <w:rPr>
          <w:rFonts w:ascii="Arial Narrow" w:hAnsi="Arial Narrow" w:cs="Arial"/>
          <w:sz w:val="22"/>
          <w:szCs w:val="22"/>
        </w:rPr>
      </w:pPr>
      <w:r w:rsidRPr="00737ABA">
        <w:rPr>
          <w:rFonts w:ascii="Arial Narrow" w:hAnsi="Arial Narrow" w:cs="Arial"/>
          <w:sz w:val="22"/>
          <w:szCs w:val="22"/>
        </w:rPr>
        <w:t>Domes priekšsēd</w:t>
      </w:r>
      <w:r w:rsidR="004142E7" w:rsidRPr="00737ABA">
        <w:rPr>
          <w:rFonts w:ascii="Arial Narrow" w:hAnsi="Arial Narrow" w:cs="Arial"/>
          <w:sz w:val="22"/>
          <w:szCs w:val="22"/>
        </w:rPr>
        <w:t>ē</w:t>
      </w:r>
      <w:r w:rsidRPr="00737ABA">
        <w:rPr>
          <w:rFonts w:ascii="Arial Narrow" w:hAnsi="Arial Narrow" w:cs="Arial"/>
          <w:sz w:val="22"/>
          <w:szCs w:val="22"/>
        </w:rPr>
        <w:t>tājs</w:t>
      </w:r>
      <w:r w:rsidRPr="00737ABA">
        <w:rPr>
          <w:rFonts w:ascii="Arial Narrow" w:hAnsi="Arial Narrow" w:cs="Arial"/>
          <w:sz w:val="22"/>
          <w:szCs w:val="22"/>
        </w:rPr>
        <w:tab/>
      </w:r>
      <w:r w:rsidRPr="00737ABA">
        <w:rPr>
          <w:rFonts w:ascii="Arial Narrow" w:hAnsi="Arial Narrow" w:cs="Arial"/>
          <w:sz w:val="22"/>
          <w:szCs w:val="22"/>
        </w:rPr>
        <w:tab/>
      </w:r>
      <w:r w:rsidRPr="00737ABA">
        <w:rPr>
          <w:rFonts w:ascii="Arial Narrow" w:hAnsi="Arial Narrow" w:cs="Arial"/>
          <w:sz w:val="22"/>
          <w:szCs w:val="22"/>
        </w:rPr>
        <w:tab/>
      </w:r>
      <w:r w:rsidRPr="00737ABA">
        <w:rPr>
          <w:rFonts w:ascii="Arial Narrow" w:hAnsi="Arial Narrow" w:cs="Arial"/>
          <w:sz w:val="22"/>
          <w:szCs w:val="22"/>
        </w:rPr>
        <w:tab/>
      </w:r>
      <w:r w:rsidRPr="00737ABA">
        <w:rPr>
          <w:rFonts w:ascii="Arial Narrow" w:hAnsi="Arial Narrow" w:cs="Arial"/>
          <w:sz w:val="22"/>
          <w:szCs w:val="22"/>
        </w:rPr>
        <w:tab/>
      </w:r>
      <w:r w:rsidRPr="00737ABA">
        <w:rPr>
          <w:rFonts w:ascii="Arial Narrow" w:hAnsi="Arial Narrow" w:cs="Arial"/>
          <w:sz w:val="22"/>
          <w:szCs w:val="22"/>
        </w:rPr>
        <w:tab/>
      </w:r>
      <w:r w:rsidRPr="00737ABA">
        <w:rPr>
          <w:rFonts w:ascii="Arial Narrow" w:hAnsi="Arial Narrow" w:cs="Arial"/>
          <w:sz w:val="22"/>
          <w:szCs w:val="22"/>
        </w:rPr>
        <w:tab/>
      </w:r>
      <w:r w:rsidRPr="00737ABA">
        <w:rPr>
          <w:rFonts w:ascii="Arial Narrow" w:hAnsi="Arial Narrow" w:cs="Arial"/>
          <w:sz w:val="22"/>
          <w:szCs w:val="22"/>
        </w:rPr>
        <w:tab/>
        <w:t>Jānis</w:t>
      </w:r>
      <w:r w:rsidR="00737ABA">
        <w:rPr>
          <w:rFonts w:ascii="Arial Narrow" w:hAnsi="Arial Narrow" w:cs="Arial"/>
          <w:sz w:val="22"/>
          <w:szCs w:val="22"/>
        </w:rPr>
        <w:t xml:space="preserve"> </w:t>
      </w:r>
      <w:proofErr w:type="spellStart"/>
      <w:r w:rsidR="00737ABA">
        <w:rPr>
          <w:rFonts w:ascii="Arial Narrow" w:hAnsi="Arial Narrow" w:cs="Arial"/>
          <w:sz w:val="22"/>
          <w:szCs w:val="22"/>
        </w:rPr>
        <w:t>BAIKS</w:t>
      </w:r>
      <w:proofErr w:type="spellEnd"/>
    </w:p>
    <w:p w14:paraId="0A944841" w14:textId="77777777" w:rsidR="00C7337E" w:rsidRPr="00737ABA" w:rsidRDefault="00C7337E" w:rsidP="00394A1E">
      <w:pPr>
        <w:rPr>
          <w:rFonts w:ascii="Arial Narrow" w:hAnsi="Arial Narrow" w:cs="Arial"/>
          <w:sz w:val="20"/>
          <w:szCs w:val="20"/>
        </w:rPr>
      </w:pPr>
    </w:p>
    <w:p w14:paraId="08AC0757" w14:textId="77777777" w:rsidR="00C7337E" w:rsidRPr="00737ABA" w:rsidRDefault="00C7337E" w:rsidP="00394A1E">
      <w:pPr>
        <w:rPr>
          <w:rFonts w:ascii="Arial Narrow" w:hAnsi="Arial Narrow" w:cs="Arial"/>
          <w:sz w:val="20"/>
          <w:szCs w:val="20"/>
        </w:rPr>
      </w:pPr>
    </w:p>
    <w:p w14:paraId="494F3979" w14:textId="1C81D4A1" w:rsidR="00C7337E" w:rsidRPr="00737ABA" w:rsidRDefault="00C7337E" w:rsidP="00394A1E">
      <w:pPr>
        <w:rPr>
          <w:rFonts w:ascii="Arial Narrow" w:hAnsi="Arial Narrow" w:cs="Arial"/>
          <w:sz w:val="20"/>
          <w:szCs w:val="20"/>
        </w:rPr>
      </w:pPr>
      <w:r w:rsidRPr="00737ABA">
        <w:rPr>
          <w:rFonts w:ascii="Arial Narrow" w:hAnsi="Arial Narrow" w:cs="Arial"/>
          <w:sz w:val="20"/>
          <w:szCs w:val="20"/>
        </w:rPr>
        <w:t xml:space="preserve">Gunita Jansone, </w:t>
      </w:r>
      <w:r w:rsidR="00737ABA">
        <w:rPr>
          <w:rFonts w:ascii="Arial Narrow" w:hAnsi="Arial Narrow" w:cs="Arial"/>
          <w:sz w:val="20"/>
          <w:szCs w:val="20"/>
        </w:rPr>
        <w:t>64207854</w:t>
      </w:r>
    </w:p>
    <w:p w14:paraId="41D47C17" w14:textId="7E97D9D5" w:rsidR="00C7337E" w:rsidRDefault="00000000" w:rsidP="00394A1E">
      <w:pPr>
        <w:rPr>
          <w:rFonts w:ascii="Arial Narrow" w:hAnsi="Arial Narrow" w:cs="Arial"/>
          <w:sz w:val="20"/>
          <w:szCs w:val="20"/>
        </w:rPr>
      </w:pPr>
      <w:hyperlink r:id="rId11" w:history="1">
        <w:r w:rsidR="00D64F71" w:rsidRPr="0068482E">
          <w:rPr>
            <w:rStyle w:val="Hyperlink"/>
            <w:rFonts w:ascii="Arial Narrow" w:hAnsi="Arial Narrow" w:cs="Arial"/>
            <w:sz w:val="20"/>
            <w:szCs w:val="20"/>
          </w:rPr>
          <w:t>gunita.jansone@valmierasnovads.lv</w:t>
        </w:r>
      </w:hyperlink>
    </w:p>
    <w:p w14:paraId="3D3E87E6" w14:textId="77777777" w:rsidR="00D64F71" w:rsidRPr="00737ABA" w:rsidRDefault="00D64F71" w:rsidP="00394A1E">
      <w:pPr>
        <w:rPr>
          <w:rFonts w:ascii="Arial Narrow" w:hAnsi="Arial Narrow" w:cs="Arial"/>
          <w:sz w:val="20"/>
          <w:szCs w:val="20"/>
        </w:rPr>
      </w:pPr>
    </w:p>
    <w:p w14:paraId="05069209" w14:textId="681D1060" w:rsidR="00213DF6" w:rsidRPr="00737ABA" w:rsidRDefault="00213DF6" w:rsidP="00394A1E">
      <w:pPr>
        <w:rPr>
          <w:rFonts w:ascii="Arial Narrow" w:hAnsi="Arial Narrow" w:cs="Arial"/>
          <w:sz w:val="20"/>
          <w:szCs w:val="20"/>
        </w:rPr>
      </w:pPr>
    </w:p>
    <w:p w14:paraId="3E0A1A0D" w14:textId="24964322" w:rsidR="00213DF6" w:rsidRDefault="00213DF6" w:rsidP="00394A1E">
      <w:pPr>
        <w:rPr>
          <w:rFonts w:ascii="Arial" w:hAnsi="Arial" w:cs="Arial"/>
          <w:sz w:val="20"/>
          <w:szCs w:val="20"/>
        </w:rPr>
      </w:pPr>
    </w:p>
    <w:sectPr w:rsidR="00213DF6" w:rsidSect="001D652D">
      <w:footerReference w:type="default" r:id="rId12"/>
      <w:headerReference w:type="first" r:id="rId13"/>
      <w:footerReference w:type="first" r:id="rId14"/>
      <w:type w:val="continuous"/>
      <w:pgSz w:w="11906" w:h="16838" w:code="9"/>
      <w:pgMar w:top="1134" w:right="567" w:bottom="1134" w:left="141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8D0C" w14:textId="77777777" w:rsidR="00F960E1" w:rsidRDefault="00F960E1">
      <w:r>
        <w:separator/>
      </w:r>
    </w:p>
  </w:endnote>
  <w:endnote w:type="continuationSeparator" w:id="0">
    <w:p w14:paraId="1830FF15" w14:textId="77777777" w:rsidR="00F960E1" w:rsidRDefault="00F9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oto Sans Symbols">
    <w:altName w:val="Calibri"/>
    <w:charset w:val="00"/>
    <w:family w:val="auto"/>
    <w:pitch w:val="default"/>
  </w:font>
  <w:font w:name="Lucida Grande">
    <w:altName w:val="Segoe UI"/>
    <w:charset w:val="00"/>
    <w:family w:val="auto"/>
    <w:pitch w:val="variable"/>
    <w:sig w:usb0="E1000AEF" w:usb1="5000A1FF" w:usb2="00000000" w:usb3="00000000" w:csb0="000001BF" w:csb1="00000000"/>
  </w:font>
  <w:font w:name="Times">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03805"/>
      <w:docPartObj>
        <w:docPartGallery w:val="Page Numbers (Bottom of Page)"/>
        <w:docPartUnique/>
      </w:docPartObj>
    </w:sdtPr>
    <w:sdtEndPr>
      <w:rPr>
        <w:noProof/>
      </w:rPr>
    </w:sdtEndPr>
    <w:sdtContent>
      <w:p w14:paraId="028B59DD" w14:textId="3EBE8122" w:rsidR="001D652D" w:rsidRDefault="001D6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00809" w14:textId="77777777" w:rsidR="001D652D" w:rsidRDefault="001D6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512"/>
      <w:docPartObj>
        <w:docPartGallery w:val="Page Numbers (Bottom of Page)"/>
        <w:docPartUnique/>
      </w:docPartObj>
    </w:sdtPr>
    <w:sdtEndPr>
      <w:rPr>
        <w:noProof/>
      </w:rPr>
    </w:sdtEndPr>
    <w:sdtContent>
      <w:p w14:paraId="1EFB655E" w14:textId="6366F8B7" w:rsidR="001D652D" w:rsidRDefault="001D6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A15C1" w14:textId="77777777" w:rsidR="001D652D" w:rsidRDefault="001D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380C" w14:textId="77777777" w:rsidR="00F960E1" w:rsidRDefault="00F960E1">
      <w:r>
        <w:separator/>
      </w:r>
    </w:p>
  </w:footnote>
  <w:footnote w:type="continuationSeparator" w:id="0">
    <w:p w14:paraId="0310506F" w14:textId="77777777" w:rsidR="00F960E1" w:rsidRDefault="00F960E1">
      <w:r>
        <w:continuationSeparator/>
      </w:r>
    </w:p>
  </w:footnote>
  <w:footnote w:id="1">
    <w:p w14:paraId="04F5013B" w14:textId="77777777" w:rsidR="00C7337E" w:rsidRPr="00174BF7" w:rsidRDefault="00C7337E" w:rsidP="00C7337E">
      <w:pPr>
        <w:pStyle w:val="FootnoteText"/>
        <w:rPr>
          <w:rFonts w:ascii="Arial Narrow" w:hAnsi="Arial Narrow" w:cs="Arial"/>
          <w:sz w:val="18"/>
          <w:szCs w:val="18"/>
        </w:rPr>
      </w:pPr>
      <w:r w:rsidRPr="007C6D15">
        <w:rPr>
          <w:rStyle w:val="FootnoteReference"/>
          <w:rFonts w:ascii="Arial" w:hAnsi="Arial" w:cs="Arial"/>
        </w:rPr>
        <w:footnoteRef/>
      </w:r>
      <w:r w:rsidRPr="007C6D15">
        <w:rPr>
          <w:rFonts w:ascii="Arial" w:hAnsi="Arial" w:cs="Arial"/>
        </w:rPr>
        <w:t xml:space="preserve"> </w:t>
      </w:r>
      <w:r w:rsidRPr="00174BF7">
        <w:rPr>
          <w:rFonts w:ascii="Arial Narrow" w:hAnsi="Arial Narrow" w:cs="Arial"/>
          <w:sz w:val="18"/>
          <w:szCs w:val="18"/>
        </w:rPr>
        <w:t>Bez naudas līdzekļu atlikuma uz gada sākumu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670" w14:textId="1A3EA4CC" w:rsidR="005C3174" w:rsidRDefault="00241A6C" w:rsidP="00C90D63">
    <w:pPr>
      <w:pStyle w:val="Header"/>
      <w:tabs>
        <w:tab w:val="center" w:pos="4537"/>
      </w:tabs>
      <w:jc w:val="center"/>
      <w:rPr>
        <w:sz w:val="20"/>
      </w:rPr>
    </w:pPr>
    <w:r w:rsidRPr="00F52062">
      <w:rPr>
        <w:noProof/>
      </w:rPr>
      <w:drawing>
        <wp:inline distT="0" distB="0" distL="0" distR="0" wp14:anchorId="7044EC77" wp14:editId="1F308094">
          <wp:extent cx="491490" cy="583948"/>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91490" cy="583948"/>
                  </a:xfrm>
                  <a:prstGeom prst="rect">
                    <a:avLst/>
                  </a:prstGeom>
                  <a:noFill/>
                  <a:ln>
                    <a:noFill/>
                  </a:ln>
                </pic:spPr>
              </pic:pic>
            </a:graphicData>
          </a:graphic>
        </wp:inline>
      </w:drawing>
    </w:r>
  </w:p>
  <w:p w14:paraId="6DE69B65" w14:textId="77777777" w:rsidR="005C3174" w:rsidRDefault="005C3174" w:rsidP="005C3174">
    <w:pPr>
      <w:pStyle w:val="Header"/>
      <w:tabs>
        <w:tab w:val="center" w:pos="4537"/>
      </w:tabs>
      <w:jc w:val="center"/>
      <w:rPr>
        <w:sz w:val="10"/>
        <w:szCs w:val="10"/>
      </w:rPr>
    </w:pPr>
  </w:p>
  <w:p w14:paraId="42E4612F" w14:textId="77777777" w:rsidR="005C3174" w:rsidRDefault="005C3174" w:rsidP="005C3174">
    <w:pPr>
      <w:pStyle w:val="Header"/>
      <w:tabs>
        <w:tab w:val="center" w:pos="4395"/>
      </w:tabs>
      <w:jc w:val="center"/>
      <w:rPr>
        <w:rFonts w:ascii="Arial" w:hAnsi="Arial" w:cs="Arial"/>
        <w:caps/>
        <w:sz w:val="20"/>
        <w:szCs w:val="20"/>
      </w:rPr>
    </w:pPr>
    <w:r>
      <w:rPr>
        <w:rFonts w:ascii="Arial" w:hAnsi="Arial" w:cs="Arial"/>
        <w:caps/>
        <w:sz w:val="20"/>
        <w:szCs w:val="20"/>
      </w:rPr>
      <w:t>Latvijas Republika</w:t>
    </w:r>
  </w:p>
  <w:p w14:paraId="4E712CB4" w14:textId="77777777" w:rsidR="005C3174" w:rsidRDefault="005C3174" w:rsidP="005C3174">
    <w:pPr>
      <w:pStyle w:val="Header"/>
      <w:tabs>
        <w:tab w:val="center" w:pos="4395"/>
      </w:tabs>
      <w:jc w:val="center"/>
      <w:rPr>
        <w:b/>
        <w:caps/>
      </w:rPr>
    </w:pPr>
    <w:r>
      <w:rPr>
        <w:rFonts w:ascii="Arial" w:hAnsi="Arial" w:cs="Arial"/>
        <w:b/>
        <w:caps/>
      </w:rPr>
      <w:t>Valmieras NOVADA pašvaldība</w:t>
    </w:r>
  </w:p>
  <w:p w14:paraId="66CCCD0E" w14:textId="77777777" w:rsidR="005C3174" w:rsidRDefault="005C3174" w:rsidP="005C3174">
    <w:pPr>
      <w:pStyle w:val="Header"/>
      <w:pBdr>
        <w:top w:val="double" w:sz="6" w:space="1" w:color="auto"/>
      </w:pBdr>
      <w:tabs>
        <w:tab w:val="center" w:pos="4395"/>
      </w:tabs>
      <w:jc w:val="center"/>
      <w:rPr>
        <w:sz w:val="3"/>
        <w:szCs w:val="3"/>
      </w:rPr>
    </w:pPr>
  </w:p>
  <w:p w14:paraId="59E37FDB" w14:textId="5076C2EA" w:rsidR="005C3174" w:rsidRDefault="00332A9F"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 xml:space="preserve">Nodokļu maksātāja reģistrācijas kods </w:t>
    </w:r>
    <w:r w:rsidR="005C3174">
      <w:rPr>
        <w:rFonts w:ascii="Arial" w:hAnsi="Arial"/>
        <w:sz w:val="16"/>
        <w:szCs w:val="16"/>
      </w:rPr>
      <w:t>90000043403, Lāčplēša iela 2, Valmiera,</w:t>
    </w:r>
    <w:r w:rsidR="008F09B5">
      <w:rPr>
        <w:rFonts w:ascii="Arial" w:hAnsi="Arial"/>
        <w:sz w:val="16"/>
        <w:szCs w:val="16"/>
      </w:rPr>
      <w:t xml:space="preserve"> Valmieras novads</w:t>
    </w:r>
    <w:r w:rsidR="00A634FA">
      <w:rPr>
        <w:rFonts w:ascii="Arial" w:hAnsi="Arial"/>
        <w:sz w:val="16"/>
        <w:szCs w:val="16"/>
      </w:rPr>
      <w:t>,</w:t>
    </w:r>
    <w:r w:rsidR="005C3174">
      <w:rPr>
        <w:rFonts w:ascii="Arial" w:hAnsi="Arial"/>
        <w:sz w:val="16"/>
        <w:szCs w:val="16"/>
      </w:rPr>
      <w:t xml:space="preserve"> LV-4201</w:t>
    </w:r>
  </w:p>
  <w:p w14:paraId="07ACD25F" w14:textId="77EB3725" w:rsidR="005C3174" w:rsidRDefault="005C3174"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Tālrunis 64207120, e-pasts: pasts@valmierasnovads.lv, www.valmiera</w:t>
    </w:r>
    <w:r w:rsidR="003E4CC2">
      <w:rPr>
        <w:rFonts w:ascii="Arial" w:hAnsi="Arial"/>
        <w:sz w:val="16"/>
        <w:szCs w:val="16"/>
      </w:rPr>
      <w:t>snovads</w:t>
    </w:r>
    <w:r>
      <w:rPr>
        <w:rFonts w:ascii="Arial" w:hAnsi="Arial"/>
        <w:sz w:val="16"/>
        <w:szCs w:val="16"/>
      </w:rPr>
      <w:t>.lv</w:t>
    </w:r>
  </w:p>
  <w:p w14:paraId="5A78BF51" w14:textId="77777777" w:rsidR="00B664B7" w:rsidRDefault="00B664B7">
    <w:pPr>
      <w:pStyle w:val="Header"/>
    </w:pPr>
  </w:p>
  <w:p w14:paraId="65505B78" w14:textId="77777777" w:rsidR="00B664B7" w:rsidRDefault="00B6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38D"/>
    <w:multiLevelType w:val="hybridMultilevel"/>
    <w:tmpl w:val="A4D4DC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53B6597"/>
    <w:multiLevelType w:val="hybridMultilevel"/>
    <w:tmpl w:val="8E90CA40"/>
    <w:lvl w:ilvl="0" w:tplc="0426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EBF6579"/>
    <w:multiLevelType w:val="hybridMultilevel"/>
    <w:tmpl w:val="351E1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4303909"/>
    <w:multiLevelType w:val="hybridMultilevel"/>
    <w:tmpl w:val="8C64768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15:restartNumberingAfterBreak="0">
    <w:nsid w:val="1B177F36"/>
    <w:multiLevelType w:val="hybridMultilevel"/>
    <w:tmpl w:val="20FA5E0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1E7537B3"/>
    <w:multiLevelType w:val="hybridMultilevel"/>
    <w:tmpl w:val="3BB038C2"/>
    <w:lvl w:ilvl="0" w:tplc="076C22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10D2AF9"/>
    <w:multiLevelType w:val="hybridMultilevel"/>
    <w:tmpl w:val="B3543CD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1F61977"/>
    <w:multiLevelType w:val="hybridMultilevel"/>
    <w:tmpl w:val="67721884"/>
    <w:lvl w:ilvl="0" w:tplc="A09CE7E8">
      <w:start w:val="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3E78DA"/>
    <w:multiLevelType w:val="multilevel"/>
    <w:tmpl w:val="3754DC8A"/>
    <w:lvl w:ilvl="0">
      <w:start w:val="1"/>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2562"/>
        </w:tabs>
        <w:ind w:left="2562"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9" w15:restartNumberingAfterBreak="0">
    <w:nsid w:val="29C4752B"/>
    <w:multiLevelType w:val="hybridMultilevel"/>
    <w:tmpl w:val="73B8E9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B5232FE"/>
    <w:multiLevelType w:val="hybridMultilevel"/>
    <w:tmpl w:val="075EF6E6"/>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1" w15:restartNumberingAfterBreak="0">
    <w:nsid w:val="2BC71ECB"/>
    <w:multiLevelType w:val="hybridMultilevel"/>
    <w:tmpl w:val="0B2863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6A179D"/>
    <w:multiLevelType w:val="hybridMultilevel"/>
    <w:tmpl w:val="D01092B0"/>
    <w:lvl w:ilvl="0" w:tplc="08090001">
      <w:start w:val="1"/>
      <w:numFmt w:val="bullet"/>
      <w:lvlText w:val=""/>
      <w:lvlJc w:val="left"/>
      <w:pPr>
        <w:ind w:left="1429" w:hanging="360"/>
      </w:pPr>
      <w:rPr>
        <w:rFonts w:ascii="Symbol" w:hAnsi="Symbol" w:cs="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cs="Wingdings" w:hint="default"/>
      </w:rPr>
    </w:lvl>
    <w:lvl w:ilvl="3" w:tplc="08090001" w:tentative="1">
      <w:start w:val="1"/>
      <w:numFmt w:val="bullet"/>
      <w:lvlText w:val=""/>
      <w:lvlJc w:val="left"/>
      <w:pPr>
        <w:ind w:left="3589" w:hanging="360"/>
      </w:pPr>
      <w:rPr>
        <w:rFonts w:ascii="Symbol" w:hAnsi="Symbol" w:cs="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cs="Wingdings" w:hint="default"/>
      </w:rPr>
    </w:lvl>
    <w:lvl w:ilvl="6" w:tplc="08090001" w:tentative="1">
      <w:start w:val="1"/>
      <w:numFmt w:val="bullet"/>
      <w:lvlText w:val=""/>
      <w:lvlJc w:val="left"/>
      <w:pPr>
        <w:ind w:left="5749" w:hanging="360"/>
      </w:pPr>
      <w:rPr>
        <w:rFonts w:ascii="Symbol" w:hAnsi="Symbol" w:cs="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cs="Wingdings" w:hint="default"/>
      </w:rPr>
    </w:lvl>
  </w:abstractNum>
  <w:abstractNum w:abstractNumId="13" w15:restartNumberingAfterBreak="0">
    <w:nsid w:val="35193990"/>
    <w:multiLevelType w:val="hybridMultilevel"/>
    <w:tmpl w:val="408A7E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8043E7B"/>
    <w:multiLevelType w:val="hybridMultilevel"/>
    <w:tmpl w:val="90E8B7D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AEB1B84"/>
    <w:multiLevelType w:val="multilevel"/>
    <w:tmpl w:val="83D4EE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D25362"/>
    <w:multiLevelType w:val="hybridMultilevel"/>
    <w:tmpl w:val="4AA03C7C"/>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7" w15:restartNumberingAfterBreak="0">
    <w:nsid w:val="4E956CDB"/>
    <w:multiLevelType w:val="hybridMultilevel"/>
    <w:tmpl w:val="C5D4DD10"/>
    <w:lvl w:ilvl="0" w:tplc="04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AF9EAD7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70AD3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312B89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A2563A9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E1260D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334FBF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AEEE1A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2B2884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52FD7841"/>
    <w:multiLevelType w:val="hybridMultilevel"/>
    <w:tmpl w:val="3A9491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BC979FA"/>
    <w:multiLevelType w:val="hybridMultilevel"/>
    <w:tmpl w:val="D1CC3122"/>
    <w:lvl w:ilvl="0" w:tplc="0426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6FEF71AC"/>
    <w:multiLevelType w:val="hybridMultilevel"/>
    <w:tmpl w:val="C082BF2C"/>
    <w:lvl w:ilvl="0" w:tplc="9AE82C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7490209"/>
    <w:multiLevelType w:val="hybridMultilevel"/>
    <w:tmpl w:val="BECC4834"/>
    <w:lvl w:ilvl="0" w:tplc="04260001">
      <w:start w:val="1"/>
      <w:numFmt w:val="bullet"/>
      <w:lvlText w:val=""/>
      <w:lvlJc w:val="left"/>
      <w:pPr>
        <w:tabs>
          <w:tab w:val="num" w:pos="786"/>
        </w:tabs>
        <w:ind w:left="786"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num w:numId="1" w16cid:durableId="1178347429">
    <w:abstractNumId w:val="8"/>
  </w:num>
  <w:num w:numId="2" w16cid:durableId="316153272">
    <w:abstractNumId w:val="16"/>
  </w:num>
  <w:num w:numId="3" w16cid:durableId="1101607401">
    <w:abstractNumId w:val="21"/>
  </w:num>
  <w:num w:numId="4" w16cid:durableId="69544280">
    <w:abstractNumId w:val="12"/>
  </w:num>
  <w:num w:numId="5" w16cid:durableId="1172376299">
    <w:abstractNumId w:val="17"/>
  </w:num>
  <w:num w:numId="6" w16cid:durableId="405886056">
    <w:abstractNumId w:val="18"/>
  </w:num>
  <w:num w:numId="7" w16cid:durableId="1725564928">
    <w:abstractNumId w:val="10"/>
  </w:num>
  <w:num w:numId="8" w16cid:durableId="156964349">
    <w:abstractNumId w:val="6"/>
  </w:num>
  <w:num w:numId="9" w16cid:durableId="1284919007">
    <w:abstractNumId w:val="0"/>
  </w:num>
  <w:num w:numId="10" w16cid:durableId="299042110">
    <w:abstractNumId w:val="2"/>
  </w:num>
  <w:num w:numId="11" w16cid:durableId="1472406810">
    <w:abstractNumId w:val="19"/>
  </w:num>
  <w:num w:numId="12" w16cid:durableId="2140683889">
    <w:abstractNumId w:val="1"/>
  </w:num>
  <w:num w:numId="13" w16cid:durableId="864443447">
    <w:abstractNumId w:val="13"/>
  </w:num>
  <w:num w:numId="14" w16cid:durableId="1866553650">
    <w:abstractNumId w:val="7"/>
  </w:num>
  <w:num w:numId="15" w16cid:durableId="686830325">
    <w:abstractNumId w:val="9"/>
  </w:num>
  <w:num w:numId="16" w16cid:durableId="328338578">
    <w:abstractNumId w:val="14"/>
  </w:num>
  <w:num w:numId="17" w16cid:durableId="2124424302">
    <w:abstractNumId w:val="3"/>
  </w:num>
  <w:num w:numId="18" w16cid:durableId="1283607263">
    <w:abstractNumId w:val="5"/>
  </w:num>
  <w:num w:numId="19" w16cid:durableId="304045232">
    <w:abstractNumId w:val="20"/>
  </w:num>
  <w:num w:numId="20" w16cid:durableId="59524282">
    <w:abstractNumId w:val="4"/>
  </w:num>
  <w:num w:numId="21" w16cid:durableId="1612008346">
    <w:abstractNumId w:val="15"/>
  </w:num>
  <w:num w:numId="22" w16cid:durableId="585384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68"/>
    <w:rsid w:val="0002006C"/>
    <w:rsid w:val="00036366"/>
    <w:rsid w:val="001067C1"/>
    <w:rsid w:val="00182378"/>
    <w:rsid w:val="001D652D"/>
    <w:rsid w:val="001E0E09"/>
    <w:rsid w:val="00213DF6"/>
    <w:rsid w:val="00215F9B"/>
    <w:rsid w:val="00241A6C"/>
    <w:rsid w:val="00261E0D"/>
    <w:rsid w:val="002A7D72"/>
    <w:rsid w:val="002C49C3"/>
    <w:rsid w:val="00332A9F"/>
    <w:rsid w:val="00355A20"/>
    <w:rsid w:val="00360672"/>
    <w:rsid w:val="003800C6"/>
    <w:rsid w:val="00394A1E"/>
    <w:rsid w:val="003B628E"/>
    <w:rsid w:val="003E4CC2"/>
    <w:rsid w:val="00413D48"/>
    <w:rsid w:val="004142E7"/>
    <w:rsid w:val="0050402B"/>
    <w:rsid w:val="005503BE"/>
    <w:rsid w:val="005C3174"/>
    <w:rsid w:val="00602E0C"/>
    <w:rsid w:val="00663DF0"/>
    <w:rsid w:val="0067189D"/>
    <w:rsid w:val="006A5168"/>
    <w:rsid w:val="0071101E"/>
    <w:rsid w:val="00737ABA"/>
    <w:rsid w:val="0075387F"/>
    <w:rsid w:val="007B0CC7"/>
    <w:rsid w:val="007B361D"/>
    <w:rsid w:val="007E10E9"/>
    <w:rsid w:val="0080104D"/>
    <w:rsid w:val="00816B8A"/>
    <w:rsid w:val="00880FBC"/>
    <w:rsid w:val="00893C8D"/>
    <w:rsid w:val="008C4414"/>
    <w:rsid w:val="008D3A34"/>
    <w:rsid w:val="008F09B5"/>
    <w:rsid w:val="009421E3"/>
    <w:rsid w:val="00A24ECF"/>
    <w:rsid w:val="00A634FA"/>
    <w:rsid w:val="00AE0DF3"/>
    <w:rsid w:val="00AE5CDE"/>
    <w:rsid w:val="00B6228E"/>
    <w:rsid w:val="00B664B7"/>
    <w:rsid w:val="00BE4FEC"/>
    <w:rsid w:val="00BF0C85"/>
    <w:rsid w:val="00C60FC1"/>
    <w:rsid w:val="00C64323"/>
    <w:rsid w:val="00C7337E"/>
    <w:rsid w:val="00C75744"/>
    <w:rsid w:val="00C841EC"/>
    <w:rsid w:val="00C90D63"/>
    <w:rsid w:val="00D36389"/>
    <w:rsid w:val="00D64F71"/>
    <w:rsid w:val="00D85251"/>
    <w:rsid w:val="00DD605F"/>
    <w:rsid w:val="00E13468"/>
    <w:rsid w:val="00F81B78"/>
    <w:rsid w:val="00F960E1"/>
    <w:rsid w:val="00FA5609"/>
    <w:rsid w:val="00FC146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8241BA"/>
  <w15:docId w15:val="{DD38BE7A-153E-4989-8234-AF89E556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A1E"/>
    <w:rPr>
      <w:sz w:val="24"/>
      <w:szCs w:val="24"/>
    </w:rPr>
  </w:style>
  <w:style w:type="paragraph" w:styleId="Heading1">
    <w:name w:val="heading 1"/>
    <w:basedOn w:val="Normal"/>
    <w:next w:val="Normal"/>
    <w:link w:val="Heading1Char"/>
    <w:qFormat/>
    <w:rsid w:val="00C7337E"/>
    <w:pPr>
      <w:keepNext/>
      <w:outlineLvl w:val="0"/>
    </w:pPr>
    <w:rPr>
      <w:rFonts w:ascii="Arial" w:hAnsi="Arial" w:cs="Arial"/>
      <w:i/>
      <w:iCs/>
      <w:sz w:val="22"/>
      <w:lang w:eastAsia="en-US"/>
    </w:rPr>
  </w:style>
  <w:style w:type="paragraph" w:styleId="Heading2">
    <w:name w:val="heading 2"/>
    <w:basedOn w:val="Normal"/>
    <w:next w:val="Normal"/>
    <w:link w:val="Heading2Char"/>
    <w:qFormat/>
    <w:rsid w:val="00C7337E"/>
    <w:pPr>
      <w:keepNext/>
      <w:tabs>
        <w:tab w:val="num" w:pos="576"/>
      </w:tabs>
      <w:spacing w:before="120" w:after="60"/>
      <w:ind w:left="576" w:hanging="576"/>
      <w:jc w:val="center"/>
      <w:outlineLvl w:val="1"/>
    </w:pPr>
    <w:rPr>
      <w:rFonts w:ascii="Arial" w:hAnsi="Arial" w:cs="Arial"/>
      <w:b/>
      <w:bCs/>
      <w:iCs/>
      <w:sz w:val="22"/>
      <w:lang w:eastAsia="en-US"/>
    </w:rPr>
  </w:style>
  <w:style w:type="paragraph" w:styleId="Heading3">
    <w:name w:val="heading 3"/>
    <w:basedOn w:val="Normal"/>
    <w:next w:val="Normal"/>
    <w:link w:val="Heading3Char"/>
    <w:qFormat/>
    <w:rsid w:val="00C7337E"/>
    <w:pPr>
      <w:keepNext/>
      <w:tabs>
        <w:tab w:val="num" w:pos="720"/>
      </w:tabs>
      <w:spacing w:before="120" w:after="60"/>
      <w:ind w:left="720" w:hanging="720"/>
      <w:jc w:val="center"/>
      <w:outlineLvl w:val="2"/>
    </w:pPr>
    <w:rPr>
      <w:rFonts w:ascii="Arial" w:hAnsi="Arial" w:cs="Arial"/>
      <w:bCs/>
      <w:i/>
      <w:sz w:val="22"/>
      <w:szCs w:val="26"/>
      <w:lang w:eastAsia="en-US"/>
    </w:rPr>
  </w:style>
  <w:style w:type="paragraph" w:styleId="Heading4">
    <w:name w:val="heading 4"/>
    <w:basedOn w:val="Normal"/>
    <w:next w:val="Normal"/>
    <w:link w:val="Heading4Char"/>
    <w:qFormat/>
    <w:rsid w:val="00C7337E"/>
    <w:pPr>
      <w:keepNext/>
      <w:tabs>
        <w:tab w:val="num" w:pos="864"/>
      </w:tabs>
      <w:spacing w:before="240" w:after="60"/>
      <w:ind w:left="864" w:hanging="864"/>
      <w:outlineLvl w:val="3"/>
    </w:pPr>
    <w:rPr>
      <w:b/>
      <w:bCs/>
      <w:sz w:val="28"/>
      <w:szCs w:val="28"/>
      <w:lang w:eastAsia="en-US"/>
    </w:rPr>
  </w:style>
  <w:style w:type="paragraph" w:styleId="Heading5">
    <w:name w:val="heading 5"/>
    <w:basedOn w:val="Normal"/>
    <w:next w:val="Normal"/>
    <w:link w:val="Heading5Char"/>
    <w:qFormat/>
    <w:rsid w:val="00C7337E"/>
    <w:pPr>
      <w:keepNext/>
      <w:tabs>
        <w:tab w:val="num" w:pos="1008"/>
      </w:tabs>
      <w:ind w:left="1008" w:hanging="1008"/>
      <w:jc w:val="center"/>
      <w:outlineLvl w:val="4"/>
    </w:pPr>
    <w:rPr>
      <w:rFonts w:ascii="Arial" w:hAnsi="Arial" w:cs="Arial"/>
      <w:b/>
      <w:bCs/>
      <w:lang w:eastAsia="en-US"/>
    </w:rPr>
  </w:style>
  <w:style w:type="paragraph" w:styleId="Heading6">
    <w:name w:val="heading 6"/>
    <w:basedOn w:val="Normal"/>
    <w:next w:val="Normal"/>
    <w:link w:val="Heading6Char"/>
    <w:qFormat/>
    <w:rsid w:val="00C7337E"/>
    <w:pPr>
      <w:tabs>
        <w:tab w:val="num" w:pos="1152"/>
      </w:tabs>
      <w:spacing w:before="240" w:after="60"/>
      <w:ind w:left="1152" w:hanging="1152"/>
      <w:outlineLvl w:val="5"/>
    </w:pPr>
    <w:rPr>
      <w:b/>
      <w:bCs/>
      <w:sz w:val="22"/>
      <w:szCs w:val="22"/>
      <w:lang w:eastAsia="en-US"/>
    </w:rPr>
  </w:style>
  <w:style w:type="paragraph" w:styleId="Heading7">
    <w:name w:val="heading 7"/>
    <w:basedOn w:val="Normal"/>
    <w:next w:val="Normal"/>
    <w:link w:val="Heading7Char"/>
    <w:qFormat/>
    <w:rsid w:val="00C7337E"/>
    <w:pPr>
      <w:tabs>
        <w:tab w:val="num" w:pos="1296"/>
      </w:tabs>
      <w:spacing w:before="240" w:after="60"/>
      <w:ind w:left="1296" w:hanging="1296"/>
      <w:outlineLvl w:val="6"/>
    </w:pPr>
    <w:rPr>
      <w:lang w:eastAsia="en-US"/>
    </w:rPr>
  </w:style>
  <w:style w:type="paragraph" w:styleId="Heading8">
    <w:name w:val="heading 8"/>
    <w:basedOn w:val="Normal"/>
    <w:next w:val="Normal"/>
    <w:link w:val="Heading8Char"/>
    <w:qFormat/>
    <w:rsid w:val="00C7337E"/>
    <w:pPr>
      <w:tabs>
        <w:tab w:val="num" w:pos="1440"/>
      </w:tabs>
      <w:spacing w:before="240" w:after="60"/>
      <w:ind w:left="1440" w:hanging="1440"/>
      <w:outlineLvl w:val="7"/>
    </w:pPr>
    <w:rPr>
      <w:i/>
      <w:iCs/>
      <w:lang w:eastAsia="en-US"/>
    </w:rPr>
  </w:style>
  <w:style w:type="paragraph" w:styleId="Heading9">
    <w:name w:val="heading 9"/>
    <w:basedOn w:val="Normal"/>
    <w:next w:val="Normal"/>
    <w:link w:val="Heading9Char"/>
    <w:qFormat/>
    <w:rsid w:val="00C7337E"/>
    <w:pPr>
      <w:tabs>
        <w:tab w:val="num" w:pos="1584"/>
      </w:tabs>
      <w:spacing w:before="240" w:after="60"/>
      <w:ind w:left="1584" w:hanging="1584"/>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3468"/>
    <w:pPr>
      <w:tabs>
        <w:tab w:val="center" w:pos="4153"/>
        <w:tab w:val="right" w:pos="8306"/>
      </w:tabs>
    </w:pPr>
  </w:style>
  <w:style w:type="paragraph" w:styleId="Footer">
    <w:name w:val="footer"/>
    <w:basedOn w:val="Normal"/>
    <w:link w:val="FooterChar"/>
    <w:uiPriority w:val="99"/>
    <w:rsid w:val="00E13468"/>
    <w:pPr>
      <w:tabs>
        <w:tab w:val="center" w:pos="4153"/>
        <w:tab w:val="right" w:pos="8306"/>
      </w:tabs>
    </w:pPr>
  </w:style>
  <w:style w:type="table" w:styleId="TableGrid">
    <w:name w:val="Table Grid"/>
    <w:basedOn w:val="TableNormal"/>
    <w:rsid w:val="003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D605F"/>
    <w:rPr>
      <w:rFonts w:ascii="Lucida Grande" w:hAnsi="Lucida Grande"/>
      <w:sz w:val="18"/>
      <w:szCs w:val="18"/>
    </w:rPr>
  </w:style>
  <w:style w:type="character" w:customStyle="1" w:styleId="BalloonTextChar">
    <w:name w:val="Balloon Text Char"/>
    <w:basedOn w:val="DefaultParagraphFont"/>
    <w:link w:val="BalloonText"/>
    <w:uiPriority w:val="99"/>
    <w:rsid w:val="00DD605F"/>
    <w:rPr>
      <w:rFonts w:ascii="Lucida Grande" w:hAnsi="Lucida Grande"/>
      <w:sz w:val="18"/>
      <w:szCs w:val="18"/>
    </w:rPr>
  </w:style>
  <w:style w:type="paragraph" w:styleId="NormalWeb">
    <w:name w:val="Normal (Web)"/>
    <w:basedOn w:val="Normal"/>
    <w:uiPriority w:val="99"/>
    <w:unhideWhenUsed/>
    <w:rsid w:val="00DD605F"/>
    <w:pPr>
      <w:spacing w:before="100" w:beforeAutospacing="1" w:after="144" w:line="288" w:lineRule="auto"/>
    </w:pPr>
    <w:rPr>
      <w:rFonts w:ascii="Times" w:hAnsi="Times"/>
      <w:sz w:val="20"/>
      <w:szCs w:val="20"/>
      <w:lang w:val="en-US" w:eastAsia="en-US"/>
    </w:rPr>
  </w:style>
  <w:style w:type="character" w:customStyle="1" w:styleId="HeaderChar">
    <w:name w:val="Header Char"/>
    <w:basedOn w:val="DefaultParagraphFont"/>
    <w:link w:val="Header"/>
    <w:uiPriority w:val="99"/>
    <w:rsid w:val="00261E0D"/>
    <w:rPr>
      <w:sz w:val="24"/>
      <w:szCs w:val="24"/>
    </w:rPr>
  </w:style>
  <w:style w:type="character" w:customStyle="1" w:styleId="Heading1Char">
    <w:name w:val="Heading 1 Char"/>
    <w:basedOn w:val="DefaultParagraphFont"/>
    <w:link w:val="Heading1"/>
    <w:rsid w:val="00C7337E"/>
    <w:rPr>
      <w:rFonts w:ascii="Arial" w:hAnsi="Arial" w:cs="Arial"/>
      <w:i/>
      <w:iCs/>
      <w:sz w:val="22"/>
      <w:szCs w:val="24"/>
      <w:lang w:eastAsia="en-US"/>
    </w:rPr>
  </w:style>
  <w:style w:type="character" w:customStyle="1" w:styleId="Heading2Char">
    <w:name w:val="Heading 2 Char"/>
    <w:basedOn w:val="DefaultParagraphFont"/>
    <w:link w:val="Heading2"/>
    <w:rsid w:val="00C7337E"/>
    <w:rPr>
      <w:rFonts w:ascii="Arial" w:hAnsi="Arial" w:cs="Arial"/>
      <w:b/>
      <w:bCs/>
      <w:iCs/>
      <w:sz w:val="22"/>
      <w:szCs w:val="24"/>
      <w:lang w:eastAsia="en-US"/>
    </w:rPr>
  </w:style>
  <w:style w:type="character" w:customStyle="1" w:styleId="Heading3Char">
    <w:name w:val="Heading 3 Char"/>
    <w:basedOn w:val="DefaultParagraphFont"/>
    <w:link w:val="Heading3"/>
    <w:rsid w:val="00C7337E"/>
    <w:rPr>
      <w:rFonts w:ascii="Arial" w:hAnsi="Arial" w:cs="Arial"/>
      <w:bCs/>
      <w:i/>
      <w:sz w:val="22"/>
      <w:szCs w:val="26"/>
      <w:lang w:eastAsia="en-US"/>
    </w:rPr>
  </w:style>
  <w:style w:type="character" w:customStyle="1" w:styleId="Heading4Char">
    <w:name w:val="Heading 4 Char"/>
    <w:basedOn w:val="DefaultParagraphFont"/>
    <w:link w:val="Heading4"/>
    <w:rsid w:val="00C7337E"/>
    <w:rPr>
      <w:b/>
      <w:bCs/>
      <w:sz w:val="28"/>
      <w:szCs w:val="28"/>
      <w:lang w:eastAsia="en-US"/>
    </w:rPr>
  </w:style>
  <w:style w:type="character" w:customStyle="1" w:styleId="Heading5Char">
    <w:name w:val="Heading 5 Char"/>
    <w:basedOn w:val="DefaultParagraphFont"/>
    <w:link w:val="Heading5"/>
    <w:rsid w:val="00C7337E"/>
    <w:rPr>
      <w:rFonts w:ascii="Arial" w:hAnsi="Arial" w:cs="Arial"/>
      <w:b/>
      <w:bCs/>
      <w:sz w:val="24"/>
      <w:szCs w:val="24"/>
      <w:lang w:eastAsia="en-US"/>
    </w:rPr>
  </w:style>
  <w:style w:type="character" w:customStyle="1" w:styleId="Heading6Char">
    <w:name w:val="Heading 6 Char"/>
    <w:basedOn w:val="DefaultParagraphFont"/>
    <w:link w:val="Heading6"/>
    <w:rsid w:val="00C7337E"/>
    <w:rPr>
      <w:b/>
      <w:bCs/>
      <w:sz w:val="22"/>
      <w:szCs w:val="22"/>
      <w:lang w:eastAsia="en-US"/>
    </w:rPr>
  </w:style>
  <w:style w:type="character" w:customStyle="1" w:styleId="Heading7Char">
    <w:name w:val="Heading 7 Char"/>
    <w:basedOn w:val="DefaultParagraphFont"/>
    <w:link w:val="Heading7"/>
    <w:rsid w:val="00C7337E"/>
    <w:rPr>
      <w:sz w:val="24"/>
      <w:szCs w:val="24"/>
      <w:lang w:eastAsia="en-US"/>
    </w:rPr>
  </w:style>
  <w:style w:type="character" w:customStyle="1" w:styleId="Heading8Char">
    <w:name w:val="Heading 8 Char"/>
    <w:basedOn w:val="DefaultParagraphFont"/>
    <w:link w:val="Heading8"/>
    <w:rsid w:val="00C7337E"/>
    <w:rPr>
      <w:i/>
      <w:iCs/>
      <w:sz w:val="24"/>
      <w:szCs w:val="24"/>
      <w:lang w:eastAsia="en-US"/>
    </w:rPr>
  </w:style>
  <w:style w:type="character" w:customStyle="1" w:styleId="Heading9Char">
    <w:name w:val="Heading 9 Char"/>
    <w:basedOn w:val="DefaultParagraphFont"/>
    <w:link w:val="Heading9"/>
    <w:rsid w:val="00C7337E"/>
    <w:rPr>
      <w:rFonts w:ascii="Arial" w:hAnsi="Arial" w:cs="Arial"/>
      <w:sz w:val="22"/>
      <w:szCs w:val="22"/>
      <w:lang w:eastAsia="en-US"/>
    </w:rPr>
  </w:style>
  <w:style w:type="character" w:styleId="Hyperlink">
    <w:name w:val="Hyperlink"/>
    <w:uiPriority w:val="99"/>
    <w:rsid w:val="00C7337E"/>
    <w:rPr>
      <w:color w:val="0000FF"/>
      <w:u w:val="single"/>
    </w:rPr>
  </w:style>
  <w:style w:type="paragraph" w:styleId="ListParagraph">
    <w:name w:val="List Paragraph"/>
    <w:aliases w:val="2,Strip"/>
    <w:basedOn w:val="Normal"/>
    <w:link w:val="ListParagraphChar"/>
    <w:uiPriority w:val="34"/>
    <w:qFormat/>
    <w:rsid w:val="00C7337E"/>
    <w:pPr>
      <w:ind w:left="720"/>
      <w:contextualSpacing/>
    </w:pPr>
    <w:rPr>
      <w:lang w:eastAsia="en-US"/>
    </w:rPr>
  </w:style>
  <w:style w:type="paragraph" w:styleId="Title">
    <w:name w:val="Title"/>
    <w:basedOn w:val="Normal"/>
    <w:link w:val="TitleChar"/>
    <w:qFormat/>
    <w:rsid w:val="00C7337E"/>
    <w:pPr>
      <w:jc w:val="center"/>
    </w:pPr>
    <w:rPr>
      <w:b/>
      <w:sz w:val="22"/>
      <w:lang w:eastAsia="en-US"/>
    </w:rPr>
  </w:style>
  <w:style w:type="character" w:customStyle="1" w:styleId="TitleChar">
    <w:name w:val="Title Char"/>
    <w:basedOn w:val="DefaultParagraphFont"/>
    <w:link w:val="Title"/>
    <w:rsid w:val="00C7337E"/>
    <w:rPr>
      <w:b/>
      <w:sz w:val="22"/>
      <w:szCs w:val="24"/>
      <w:lang w:eastAsia="en-US"/>
    </w:rPr>
  </w:style>
  <w:style w:type="character" w:styleId="PageNumber">
    <w:name w:val="page number"/>
    <w:basedOn w:val="DefaultParagraphFont"/>
    <w:rsid w:val="00C7337E"/>
  </w:style>
  <w:style w:type="paragraph" w:styleId="FootnoteText">
    <w:name w:val="footnote text"/>
    <w:basedOn w:val="Normal"/>
    <w:link w:val="FootnoteTextChar"/>
    <w:uiPriority w:val="99"/>
    <w:rsid w:val="00C7337E"/>
    <w:rPr>
      <w:sz w:val="20"/>
      <w:szCs w:val="20"/>
    </w:rPr>
  </w:style>
  <w:style w:type="character" w:customStyle="1" w:styleId="FootnoteTextChar">
    <w:name w:val="Footnote Text Char"/>
    <w:basedOn w:val="DefaultParagraphFont"/>
    <w:link w:val="FootnoteText"/>
    <w:uiPriority w:val="99"/>
    <w:rsid w:val="00C7337E"/>
  </w:style>
  <w:style w:type="character" w:styleId="FootnoteReference">
    <w:name w:val="footnote reference"/>
    <w:rsid w:val="00C7337E"/>
    <w:rPr>
      <w:vertAlign w:val="superscript"/>
    </w:rPr>
  </w:style>
  <w:style w:type="character" w:customStyle="1" w:styleId="BodytextNotBold">
    <w:name w:val="Body text + Not Bold"/>
    <w:rsid w:val="00C7337E"/>
    <w:rPr>
      <w:rFonts w:ascii="Arial" w:hAnsi="Arial"/>
      <w:b/>
      <w:i/>
      <w:color w:val="000000"/>
      <w:spacing w:val="0"/>
      <w:w w:val="100"/>
      <w:position w:val="0"/>
      <w:sz w:val="16"/>
      <w:u w:val="none"/>
      <w:effect w:val="none"/>
      <w:vertAlign w:val="baseline"/>
      <w:lang w:val="lv-LV" w:eastAsia="x-none"/>
    </w:rPr>
  </w:style>
  <w:style w:type="character" w:styleId="CommentReference">
    <w:name w:val="annotation reference"/>
    <w:uiPriority w:val="99"/>
    <w:rsid w:val="00C7337E"/>
    <w:rPr>
      <w:sz w:val="16"/>
      <w:szCs w:val="16"/>
    </w:rPr>
  </w:style>
  <w:style w:type="paragraph" w:styleId="CommentText">
    <w:name w:val="annotation text"/>
    <w:basedOn w:val="Normal"/>
    <w:link w:val="CommentTextChar"/>
    <w:uiPriority w:val="99"/>
    <w:rsid w:val="00C7337E"/>
    <w:rPr>
      <w:sz w:val="20"/>
      <w:szCs w:val="20"/>
      <w:lang w:eastAsia="en-US"/>
    </w:rPr>
  </w:style>
  <w:style w:type="character" w:customStyle="1" w:styleId="CommentTextChar">
    <w:name w:val="Comment Text Char"/>
    <w:basedOn w:val="DefaultParagraphFont"/>
    <w:link w:val="CommentText"/>
    <w:uiPriority w:val="99"/>
    <w:rsid w:val="00C7337E"/>
    <w:rPr>
      <w:lang w:eastAsia="en-US"/>
    </w:rPr>
  </w:style>
  <w:style w:type="paragraph" w:styleId="CommentSubject">
    <w:name w:val="annotation subject"/>
    <w:basedOn w:val="CommentText"/>
    <w:next w:val="CommentText"/>
    <w:link w:val="CommentSubjectChar"/>
    <w:uiPriority w:val="99"/>
    <w:rsid w:val="00C7337E"/>
    <w:rPr>
      <w:b/>
      <w:bCs/>
    </w:rPr>
  </w:style>
  <w:style w:type="character" w:customStyle="1" w:styleId="CommentSubjectChar">
    <w:name w:val="Comment Subject Char"/>
    <w:basedOn w:val="CommentTextChar"/>
    <w:link w:val="CommentSubject"/>
    <w:uiPriority w:val="99"/>
    <w:rsid w:val="00C7337E"/>
    <w:rPr>
      <w:b/>
      <w:bCs/>
      <w:lang w:eastAsia="en-US"/>
    </w:rPr>
  </w:style>
  <w:style w:type="paragraph" w:styleId="BodyText2">
    <w:name w:val="Body Text 2"/>
    <w:basedOn w:val="Normal"/>
    <w:link w:val="BodyText2Char"/>
    <w:rsid w:val="00C7337E"/>
    <w:pPr>
      <w:jc w:val="both"/>
    </w:pPr>
    <w:rPr>
      <w:sz w:val="28"/>
      <w:szCs w:val="20"/>
      <w:lang w:eastAsia="en-US"/>
    </w:rPr>
  </w:style>
  <w:style w:type="character" w:customStyle="1" w:styleId="BodyText2Char">
    <w:name w:val="Body Text 2 Char"/>
    <w:basedOn w:val="DefaultParagraphFont"/>
    <w:link w:val="BodyText2"/>
    <w:rsid w:val="00C7337E"/>
    <w:rPr>
      <w:sz w:val="28"/>
      <w:lang w:eastAsia="en-US"/>
    </w:rPr>
  </w:style>
  <w:style w:type="character" w:styleId="FollowedHyperlink">
    <w:name w:val="FollowedHyperlink"/>
    <w:rsid w:val="00C7337E"/>
    <w:rPr>
      <w:color w:val="800080"/>
      <w:u w:val="single"/>
    </w:rPr>
  </w:style>
  <w:style w:type="character" w:customStyle="1" w:styleId="ListParagraphChar">
    <w:name w:val="List Paragraph Char"/>
    <w:aliases w:val="2 Char,Strip Char"/>
    <w:link w:val="ListParagraph"/>
    <w:uiPriority w:val="34"/>
    <w:rsid w:val="00C7337E"/>
    <w:rPr>
      <w:sz w:val="24"/>
      <w:szCs w:val="24"/>
      <w:lang w:eastAsia="en-US"/>
    </w:rPr>
  </w:style>
  <w:style w:type="character" w:styleId="UnresolvedMention">
    <w:name w:val="Unresolved Mention"/>
    <w:uiPriority w:val="99"/>
    <w:semiHidden/>
    <w:unhideWhenUsed/>
    <w:rsid w:val="00C7337E"/>
    <w:rPr>
      <w:color w:val="808080"/>
      <w:shd w:val="clear" w:color="auto" w:fill="E6E6E6"/>
    </w:rPr>
  </w:style>
  <w:style w:type="paragraph" w:customStyle="1" w:styleId="doc-ti">
    <w:name w:val="doc-ti"/>
    <w:basedOn w:val="Normal"/>
    <w:rsid w:val="00C7337E"/>
    <w:pPr>
      <w:spacing w:before="100" w:beforeAutospacing="1" w:after="100" w:afterAutospacing="1"/>
    </w:pPr>
    <w:rPr>
      <w:lang w:val="en-US" w:eastAsia="en-US"/>
    </w:rPr>
  </w:style>
  <w:style w:type="character" w:styleId="Strong">
    <w:name w:val="Strong"/>
    <w:uiPriority w:val="22"/>
    <w:qFormat/>
    <w:rsid w:val="00C7337E"/>
    <w:rPr>
      <w:b/>
      <w:bCs/>
      <w:i w:val="0"/>
      <w:iCs w:val="0"/>
    </w:rPr>
  </w:style>
  <w:style w:type="character" w:customStyle="1" w:styleId="Bodytext">
    <w:name w:val="Body text_"/>
    <w:link w:val="BodyText1"/>
    <w:rsid w:val="00C7337E"/>
    <w:rPr>
      <w:sz w:val="21"/>
      <w:szCs w:val="21"/>
      <w:shd w:val="clear" w:color="auto" w:fill="FFFFFF"/>
    </w:rPr>
  </w:style>
  <w:style w:type="paragraph" w:customStyle="1" w:styleId="BodyText1">
    <w:name w:val="Body Text1"/>
    <w:basedOn w:val="Normal"/>
    <w:link w:val="Bodytext"/>
    <w:rsid w:val="00C7337E"/>
    <w:pPr>
      <w:widowControl w:val="0"/>
      <w:shd w:val="clear" w:color="auto" w:fill="FFFFFF"/>
      <w:spacing w:before="240" w:after="360" w:line="278" w:lineRule="exact"/>
      <w:jc w:val="right"/>
    </w:pPr>
    <w:rPr>
      <w:sz w:val="21"/>
      <w:szCs w:val="21"/>
    </w:rPr>
  </w:style>
  <w:style w:type="paragraph" w:styleId="EndnoteText">
    <w:name w:val="endnote text"/>
    <w:basedOn w:val="Normal"/>
    <w:link w:val="EndnoteTextChar"/>
    <w:uiPriority w:val="99"/>
    <w:unhideWhenUsed/>
    <w:rsid w:val="00C7337E"/>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sid w:val="00C7337E"/>
    <w:rPr>
      <w:rFonts w:ascii="Calibri" w:eastAsia="Calibri" w:hAnsi="Calibri"/>
      <w:lang w:eastAsia="en-US"/>
    </w:rPr>
  </w:style>
  <w:style w:type="character" w:styleId="EndnoteReference">
    <w:name w:val="endnote reference"/>
    <w:uiPriority w:val="99"/>
    <w:unhideWhenUsed/>
    <w:rsid w:val="00C7337E"/>
    <w:rPr>
      <w:vertAlign w:val="superscript"/>
    </w:rPr>
  </w:style>
  <w:style w:type="character" w:customStyle="1" w:styleId="FooterChar">
    <w:name w:val="Footer Char"/>
    <w:link w:val="Footer"/>
    <w:uiPriority w:val="99"/>
    <w:rsid w:val="00C7337E"/>
    <w:rPr>
      <w:sz w:val="24"/>
      <w:szCs w:val="24"/>
    </w:rPr>
  </w:style>
  <w:style w:type="paragraph" w:styleId="NoSpacing">
    <w:name w:val="No Spacing"/>
    <w:uiPriority w:val="1"/>
    <w:qFormat/>
    <w:rsid w:val="00C7337E"/>
    <w:rPr>
      <w:rFonts w:ascii="Calibri" w:eastAsia="Calibri" w:hAnsi="Calibri"/>
      <w:sz w:val="22"/>
      <w:szCs w:val="22"/>
      <w:lang w:eastAsia="en-US"/>
    </w:rPr>
  </w:style>
  <w:style w:type="paragraph" w:customStyle="1" w:styleId="Default">
    <w:name w:val="Default"/>
    <w:rsid w:val="00C7337E"/>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semiHidden/>
    <w:rsid w:val="00C733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025">
      <w:bodyDiv w:val="1"/>
      <w:marLeft w:val="0"/>
      <w:marRight w:val="0"/>
      <w:marTop w:val="0"/>
      <w:marBottom w:val="0"/>
      <w:divBdr>
        <w:top w:val="none" w:sz="0" w:space="0" w:color="auto"/>
        <w:left w:val="none" w:sz="0" w:space="0" w:color="auto"/>
        <w:bottom w:val="none" w:sz="0" w:space="0" w:color="auto"/>
        <w:right w:val="none" w:sz="0" w:space="0" w:color="auto"/>
      </w:divBdr>
    </w:div>
    <w:div w:id="398140532">
      <w:bodyDiv w:val="1"/>
      <w:marLeft w:val="0"/>
      <w:marRight w:val="0"/>
      <w:marTop w:val="0"/>
      <w:marBottom w:val="0"/>
      <w:divBdr>
        <w:top w:val="none" w:sz="0" w:space="0" w:color="auto"/>
        <w:left w:val="none" w:sz="0" w:space="0" w:color="auto"/>
        <w:bottom w:val="none" w:sz="0" w:space="0" w:color="auto"/>
        <w:right w:val="none" w:sz="0" w:space="0" w:color="auto"/>
      </w:divBdr>
    </w:div>
    <w:div w:id="950629386">
      <w:bodyDiv w:val="1"/>
      <w:marLeft w:val="0"/>
      <w:marRight w:val="0"/>
      <w:marTop w:val="0"/>
      <w:marBottom w:val="0"/>
      <w:divBdr>
        <w:top w:val="none" w:sz="0" w:space="0" w:color="auto"/>
        <w:left w:val="none" w:sz="0" w:space="0" w:color="auto"/>
        <w:bottom w:val="none" w:sz="0" w:space="0" w:color="auto"/>
        <w:right w:val="none" w:sz="0" w:space="0" w:color="auto"/>
      </w:divBdr>
    </w:div>
    <w:div w:id="1043989025">
      <w:bodyDiv w:val="1"/>
      <w:marLeft w:val="0"/>
      <w:marRight w:val="0"/>
      <w:marTop w:val="0"/>
      <w:marBottom w:val="0"/>
      <w:divBdr>
        <w:top w:val="none" w:sz="0" w:space="0" w:color="auto"/>
        <w:left w:val="none" w:sz="0" w:space="0" w:color="auto"/>
        <w:bottom w:val="none" w:sz="0" w:space="0" w:color="auto"/>
        <w:right w:val="none" w:sz="0" w:space="0" w:color="auto"/>
      </w:divBdr>
    </w:div>
    <w:div w:id="1148546824">
      <w:bodyDiv w:val="1"/>
      <w:marLeft w:val="0"/>
      <w:marRight w:val="0"/>
      <w:marTop w:val="0"/>
      <w:marBottom w:val="0"/>
      <w:divBdr>
        <w:top w:val="none" w:sz="0" w:space="0" w:color="auto"/>
        <w:left w:val="none" w:sz="0" w:space="0" w:color="auto"/>
        <w:bottom w:val="none" w:sz="0" w:space="0" w:color="auto"/>
        <w:right w:val="none" w:sz="0" w:space="0" w:color="auto"/>
      </w:divBdr>
    </w:div>
    <w:div w:id="1443115151">
      <w:bodyDiv w:val="1"/>
      <w:marLeft w:val="0"/>
      <w:marRight w:val="0"/>
      <w:marTop w:val="0"/>
      <w:marBottom w:val="0"/>
      <w:divBdr>
        <w:top w:val="none" w:sz="0" w:space="0" w:color="auto"/>
        <w:left w:val="none" w:sz="0" w:space="0" w:color="auto"/>
        <w:bottom w:val="none" w:sz="0" w:space="0" w:color="auto"/>
        <w:right w:val="none" w:sz="0" w:space="0" w:color="auto"/>
      </w:divBdr>
    </w:div>
    <w:div w:id="1798373680">
      <w:bodyDiv w:val="1"/>
      <w:marLeft w:val="0"/>
      <w:marRight w:val="0"/>
      <w:marTop w:val="0"/>
      <w:marBottom w:val="0"/>
      <w:divBdr>
        <w:top w:val="none" w:sz="0" w:space="0" w:color="auto"/>
        <w:left w:val="none" w:sz="0" w:space="0" w:color="auto"/>
        <w:bottom w:val="none" w:sz="0" w:space="0" w:color="auto"/>
        <w:right w:val="none" w:sz="0" w:space="0" w:color="auto"/>
      </w:divBdr>
    </w:div>
    <w:div w:id="19272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nita.jansone@valmieras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68487659972736E-2"/>
          <c:y val="0.10099760701011695"/>
          <c:w val="0.81944444444444442"/>
          <c:h val="0.77866770469765334"/>
        </c:manualLayout>
      </c:layout>
      <c:pie3DChart>
        <c:varyColors val="1"/>
        <c:ser>
          <c:idx val="0"/>
          <c:order val="0"/>
          <c:explosion val="23"/>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BD3F-4CBA-90AF-1F028BBE0F14}"/>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BD3F-4CBA-90AF-1F028BBE0F14}"/>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BD3F-4CBA-90AF-1F028BBE0F14}"/>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BD3F-4CBA-90AF-1F028BBE0F14}"/>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BD3F-4CBA-90AF-1F028BBE0F14}"/>
              </c:ext>
            </c:extLst>
          </c:dPt>
          <c:dLbls>
            <c:dLbl>
              <c:idx val="0"/>
              <c:tx>
                <c:rich>
                  <a:bodyPr/>
                  <a:lstStyle/>
                  <a:p>
                    <a:fld id="{641B01FA-ACAE-4D23-9BD6-B77D3AA69829}" type="CATEGORYNAME">
                      <a:rPr lang="lv-LV"/>
                      <a:pPr/>
                      <a:t>[CATEGORY NAME]</a:t>
                    </a:fld>
                    <a:r>
                      <a:rPr lang="lv-LV"/>
                      <a:t>;</a:t>
                    </a:r>
                  </a:p>
                  <a:p>
                    <a:r>
                      <a:rPr lang="lv-LV"/>
                      <a:t> 46 046 764; 46,75%</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3F-4CBA-90AF-1F028BBE0F14}"/>
                </c:ext>
              </c:extLst>
            </c:dLbl>
            <c:dLbl>
              <c:idx val="1"/>
              <c:layout>
                <c:manualLayout>
                  <c:x val="7.8495211188760974E-2"/>
                  <c:y val="-6.4462648939015224E-2"/>
                </c:manualLayout>
              </c:layout>
              <c:tx>
                <c:rich>
                  <a:bodyPr/>
                  <a:lstStyle/>
                  <a:p>
                    <a:r>
                      <a:rPr lang="lv-LV"/>
                      <a:t>Nenodokļu ieņēmumi;             2 668</a:t>
                    </a:r>
                    <a:r>
                      <a:rPr lang="lv-LV" baseline="0"/>
                      <a:t> 889</a:t>
                    </a:r>
                    <a:r>
                      <a:rPr lang="lv-LV"/>
                      <a:t>; 2,71%</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D3F-4CBA-90AF-1F028BBE0F14}"/>
                </c:ext>
              </c:extLst>
            </c:dLbl>
            <c:dLbl>
              <c:idx val="2"/>
              <c:tx>
                <c:rich>
                  <a:bodyPr/>
                  <a:lstStyle/>
                  <a:p>
                    <a:r>
                      <a:rPr lang="lv-LV"/>
                      <a:t>Maksas pakalpojumi, citi pašu ieņēmumi;  </a:t>
                    </a:r>
                  </a:p>
                  <a:p>
                    <a:r>
                      <a:rPr lang="lv-LV"/>
                      <a:t>5 312 124; 5,39%</a:t>
                    </a:r>
                  </a:p>
                </c:rich>
              </c:tx>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D3F-4CBA-90AF-1F028BBE0F14}"/>
                </c:ext>
              </c:extLst>
            </c:dLbl>
            <c:dLbl>
              <c:idx val="3"/>
              <c:layout>
                <c:manualLayout>
                  <c:x val="-0.19187841054751884"/>
                  <c:y val="-3.9627410055363146E-2"/>
                </c:manualLayout>
              </c:layout>
              <c:tx>
                <c:rich>
                  <a:bodyPr/>
                  <a:lstStyle/>
                  <a:p>
                    <a:r>
                      <a:rPr lang="en-US"/>
                      <a:t>Ārvalstu finanšu palīdzība; 250 634; 0,25%</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D3F-4CBA-90AF-1F028BBE0F14}"/>
                </c:ext>
              </c:extLst>
            </c:dLbl>
            <c:dLbl>
              <c:idx val="4"/>
              <c:tx>
                <c:rich>
                  <a:bodyPr/>
                  <a:lstStyle/>
                  <a:p>
                    <a:r>
                      <a:rPr lang="lv-LV"/>
                      <a:t>Transfertu ieņēmumi;                44 219 768; 44,90%</a:t>
                    </a:r>
                  </a:p>
                </c:rich>
              </c:tx>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BD3F-4CBA-90AF-1F028BBE0F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PB_ien!$A$2:$A$6</c:f>
              <c:strCache>
                <c:ptCount val="5"/>
                <c:pt idx="0">
                  <c:v>Nodokļu ieņēmumi</c:v>
                </c:pt>
                <c:pt idx="1">
                  <c:v>Nenodokļu ieņēmumi</c:v>
                </c:pt>
                <c:pt idx="2">
                  <c:v>Maksas pakalpojumi, citi pašu ieņēmumi</c:v>
                </c:pt>
                <c:pt idx="3">
                  <c:v>Ārvalstu finanšu palīdzība</c:v>
                </c:pt>
                <c:pt idx="4">
                  <c:v>Transfertu ieņēmumi</c:v>
                </c:pt>
              </c:strCache>
            </c:strRef>
          </c:cat>
          <c:val>
            <c:numRef>
              <c:f>PB_ien!$C$2:$C$6</c:f>
              <c:numCache>
                <c:formatCode>#,##0</c:formatCode>
                <c:ptCount val="5"/>
                <c:pt idx="0">
                  <c:v>46046764</c:v>
                </c:pt>
                <c:pt idx="1">
                  <c:v>2645502</c:v>
                </c:pt>
                <c:pt idx="2">
                  <c:v>5311278</c:v>
                </c:pt>
                <c:pt idx="3">
                  <c:v>250634</c:v>
                </c:pt>
                <c:pt idx="4">
                  <c:v>44219768</c:v>
                </c:pt>
              </c:numCache>
            </c:numRef>
          </c:val>
          <c:extLst>
            <c:ext xmlns:c16="http://schemas.microsoft.com/office/drawing/2014/chart" uri="{C3380CC4-5D6E-409C-BE32-E72D297353CC}">
              <c16:uniqueId val="{0000000A-BD3F-4CBA-90AF-1F028BBE0F1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200"/>
      <c:rAngAx val="0"/>
      <c:perspective val="20"/>
    </c:view3D>
    <c:floor>
      <c:thickness val="0"/>
    </c:floor>
    <c:sideWall>
      <c:thickness val="0"/>
    </c:sideWall>
    <c:backWall>
      <c:thickness val="0"/>
    </c:backWall>
    <c:plotArea>
      <c:layout/>
      <c:pie3DChart>
        <c:varyColors val="1"/>
        <c:ser>
          <c:idx val="0"/>
          <c:order val="0"/>
          <c:dPt>
            <c:idx val="0"/>
            <c:bubble3D val="0"/>
            <c:explosion val="23"/>
            <c:spPr>
              <a:solidFill>
                <a:schemeClr val="tx2">
                  <a:lumMod val="60000"/>
                  <a:lumOff val="40000"/>
                </a:schemeClr>
              </a:solidFill>
            </c:spPr>
            <c:extLst>
              <c:ext xmlns:c16="http://schemas.microsoft.com/office/drawing/2014/chart" uri="{C3380CC4-5D6E-409C-BE32-E72D297353CC}">
                <c16:uniqueId val="{00000001-AEB2-42CD-9391-346B7C11BF8D}"/>
              </c:ext>
            </c:extLst>
          </c:dPt>
          <c:dPt>
            <c:idx val="1"/>
            <c:bubble3D val="0"/>
            <c:explosion val="43"/>
            <c:spPr>
              <a:solidFill>
                <a:schemeClr val="accent6">
                  <a:lumMod val="60000"/>
                  <a:lumOff val="40000"/>
                </a:schemeClr>
              </a:solidFill>
            </c:spPr>
            <c:extLst>
              <c:ext xmlns:c16="http://schemas.microsoft.com/office/drawing/2014/chart" uri="{C3380CC4-5D6E-409C-BE32-E72D297353CC}">
                <c16:uniqueId val="{00000003-AEB2-42CD-9391-346B7C11BF8D}"/>
              </c:ext>
            </c:extLst>
          </c:dPt>
          <c:dPt>
            <c:idx val="2"/>
            <c:bubble3D val="0"/>
            <c:explosion val="44"/>
            <c:spPr>
              <a:solidFill>
                <a:schemeClr val="accent3">
                  <a:lumMod val="60000"/>
                  <a:lumOff val="40000"/>
                </a:schemeClr>
              </a:solidFill>
            </c:spPr>
            <c:extLst>
              <c:ext xmlns:c16="http://schemas.microsoft.com/office/drawing/2014/chart" uri="{C3380CC4-5D6E-409C-BE32-E72D297353CC}">
                <c16:uniqueId val="{00000005-AEB2-42CD-9391-346B7C11BF8D}"/>
              </c:ext>
            </c:extLst>
          </c:dPt>
          <c:dPt>
            <c:idx val="3"/>
            <c:bubble3D val="0"/>
            <c:explosion val="44"/>
            <c:spPr>
              <a:solidFill>
                <a:schemeClr val="accent4">
                  <a:lumMod val="60000"/>
                  <a:lumOff val="40000"/>
                </a:schemeClr>
              </a:solidFill>
            </c:spPr>
            <c:extLst>
              <c:ext xmlns:c16="http://schemas.microsoft.com/office/drawing/2014/chart" uri="{C3380CC4-5D6E-409C-BE32-E72D297353CC}">
                <c16:uniqueId val="{00000007-AEB2-42CD-9391-346B7C11BF8D}"/>
              </c:ext>
            </c:extLst>
          </c:dPt>
          <c:dPt>
            <c:idx val="4"/>
            <c:bubble3D val="0"/>
            <c:explosion val="31"/>
            <c:extLst>
              <c:ext xmlns:c16="http://schemas.microsoft.com/office/drawing/2014/chart" uri="{C3380CC4-5D6E-409C-BE32-E72D297353CC}">
                <c16:uniqueId val="{00000009-AEB2-42CD-9391-346B7C11BF8D}"/>
              </c:ext>
            </c:extLst>
          </c:dPt>
          <c:dLbls>
            <c:dLbl>
              <c:idx val="0"/>
              <c:layout>
                <c:manualLayout>
                  <c:x val="0.28649450733551923"/>
                  <c:y val="2.9626017559987741E-2"/>
                </c:manualLayout>
              </c:layout>
              <c:tx>
                <c:rich>
                  <a:bodyPr wrap="square" lIns="38100" tIns="19050" rIns="38100" bIns="19050" anchor="ctr">
                    <a:spAutoFit/>
                  </a:bodyPr>
                  <a:lstStyle/>
                  <a:p>
                    <a:pPr>
                      <a:defRPr baseline="0">
                        <a:latin typeface="Calibri" panose="020F0502020204030204" pitchFamily="34" charset="0"/>
                      </a:defRPr>
                    </a:pPr>
                    <a:r>
                      <a:rPr lang="en-US" sz="1100" baseline="0">
                        <a:latin typeface="Calibri" panose="020F0502020204030204" pitchFamily="34" charset="0"/>
                      </a:rPr>
                      <a:t>Iedzīvotāju ienākuma nodoklis
90,66%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EB2-42CD-9391-346B7C11BF8D}"/>
                </c:ext>
              </c:extLst>
            </c:dLbl>
            <c:dLbl>
              <c:idx val="1"/>
              <c:layout>
                <c:manualLayout>
                  <c:x val="0.1299238127149"/>
                  <c:y val="9.0464580252341553E-3"/>
                </c:manualLayout>
              </c:layout>
              <c:tx>
                <c:rich>
                  <a:bodyPr/>
                  <a:lstStyle/>
                  <a:p>
                    <a:pPr>
                      <a:defRPr sz="1050"/>
                    </a:pPr>
                    <a:fld id="{AA30CD35-24AE-4AA1-8979-7D53383CD614}" type="CATEGORYNAME">
                      <a:rPr lang="en-US"/>
                      <a:pPr>
                        <a:defRPr sz="1050"/>
                      </a:pPr>
                      <a:t>[CATEGORY NAME]</a:t>
                    </a:fld>
                    <a:r>
                      <a:rPr lang="en-US" baseline="0"/>
                      <a:t>
4,31%</a:t>
                    </a:r>
                  </a:p>
                </c:rich>
              </c:tx>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EB2-42CD-9391-346B7C11BF8D}"/>
                </c:ext>
              </c:extLst>
            </c:dLbl>
            <c:dLbl>
              <c:idx val="2"/>
              <c:layout>
                <c:manualLayout>
                  <c:x val="0.21276603722407039"/>
                  <c:y val="4.7879345801033625E-2"/>
                </c:manualLayout>
              </c:layout>
              <c:tx>
                <c:rich>
                  <a:bodyPr wrap="square" lIns="38100" tIns="19050" rIns="38100" bIns="19050" anchor="ctr">
                    <a:noAutofit/>
                  </a:bodyPr>
                  <a:lstStyle/>
                  <a:p>
                    <a:pPr>
                      <a:defRPr/>
                    </a:pPr>
                    <a:fld id="{9F2CE2BA-574D-4874-95E8-40077A3F4126}" type="CATEGORYNAME">
                      <a:rPr lang="en-US"/>
                      <a:pPr>
                        <a:defRPr/>
                      </a:pPr>
                      <a:t>[CATEGORY NAME]</a:t>
                    </a:fld>
                    <a:r>
                      <a:rPr lang="en-US" baseline="0"/>
                      <a:t>
3,28%</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9575473278606129"/>
                      <c:h val="0.16169390536651096"/>
                    </c:manualLayout>
                  </c15:layout>
                  <c15:dlblFieldTable/>
                  <c15:showDataLabelsRange val="0"/>
                </c:ext>
                <c:ext xmlns:c16="http://schemas.microsoft.com/office/drawing/2014/chart" uri="{C3380CC4-5D6E-409C-BE32-E72D297353CC}">
                  <c16:uniqueId val="{00000005-AEB2-42CD-9391-346B7C11BF8D}"/>
                </c:ext>
              </c:extLst>
            </c:dLbl>
            <c:dLbl>
              <c:idx val="3"/>
              <c:layout>
                <c:manualLayout>
                  <c:x val="5.6949955723619654E-2"/>
                  <c:y val="4.744791214387889E-2"/>
                </c:manualLayout>
              </c:layout>
              <c:tx>
                <c:rich>
                  <a:bodyPr/>
                  <a:lstStyle/>
                  <a:p>
                    <a:fld id="{847BDDE6-6746-47C5-BE4F-88EA23F65C51}" type="CATEGORYNAME">
                      <a:rPr lang="en-US"/>
                      <a:pPr/>
                      <a:t>[CATEGORY NAME]</a:t>
                    </a:fld>
                    <a:endParaRPr lang="en-US" baseline="0"/>
                  </a:p>
                  <a:p>
                    <a:r>
                      <a:rPr lang="en-US" baseline="0"/>
                      <a:t>1,34%</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EB2-42CD-9391-346B7C11BF8D}"/>
                </c:ext>
              </c:extLst>
            </c:dLbl>
            <c:dLbl>
              <c:idx val="4"/>
              <c:layout>
                <c:manualLayout>
                  <c:x val="-0.14234800437179396"/>
                  <c:y val="3.2401774651265036E-2"/>
                </c:manualLayout>
              </c:layout>
              <c:tx>
                <c:rich>
                  <a:bodyPr/>
                  <a:lstStyle/>
                  <a:p>
                    <a:fld id="{296073A4-B25B-4349-82C2-9BE491C0B39F}" type="CATEGORYNAME">
                      <a:rPr lang="lv-LV"/>
                      <a:pPr/>
                      <a:t>[CATEGORY NAME]</a:t>
                    </a:fld>
                    <a:r>
                      <a:rPr lang="lv-LV" baseline="0"/>
                      <a:t>
0,06,%</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EB2-42CD-9391-346B7C11BF8D}"/>
                </c:ext>
              </c:extLst>
            </c:dLbl>
            <c:dLbl>
              <c:idx val="5"/>
              <c:tx>
                <c:rich>
                  <a:bodyPr/>
                  <a:lstStyle/>
                  <a:p>
                    <a:fld id="{189DC021-282B-40D0-9B53-6271CF2476F0}" type="CATEGORYNAME">
                      <a:rPr lang="en-US"/>
                      <a:pPr/>
                      <a:t>[CATEGORY NAME]</a:t>
                    </a:fld>
                    <a:r>
                      <a:rPr lang="en-US" baseline="0"/>
                      <a:t>
0,34%</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AEB2-42CD-9391-346B7C11BF8D}"/>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PB_ien!$A$27:$A$32</c:f>
              <c:strCache>
                <c:ptCount val="6"/>
                <c:pt idx="0">
                  <c:v>Iedzīvotāju ienākuma nodoklis</c:v>
                </c:pt>
                <c:pt idx="1">
                  <c:v>Nekustamā īpašuma nodoklis par zemi</c:v>
                </c:pt>
                <c:pt idx="2">
                  <c:v>Nekustamā īpašuma nodoklis par ēkām</c:v>
                </c:pt>
                <c:pt idx="3">
                  <c:v>Nekustamā īpašuma nodoklis par mājokli</c:v>
                </c:pt>
                <c:pt idx="4">
                  <c:v>Azartspēļu nodoklis</c:v>
                </c:pt>
                <c:pt idx="5">
                  <c:v>Dabas resursu nodoklis</c:v>
                </c:pt>
              </c:strCache>
            </c:strRef>
          </c:cat>
          <c:val>
            <c:numRef>
              <c:f>PB_ien!$C$27:$C$32</c:f>
              <c:numCache>
                <c:formatCode>#,##0</c:formatCode>
                <c:ptCount val="6"/>
                <c:pt idx="0">
                  <c:v>41747711</c:v>
                </c:pt>
                <c:pt idx="1">
                  <c:v>1986166</c:v>
                </c:pt>
                <c:pt idx="2">
                  <c:v>1510113</c:v>
                </c:pt>
                <c:pt idx="3">
                  <c:v>618837</c:v>
                </c:pt>
                <c:pt idx="4">
                  <c:v>28298</c:v>
                </c:pt>
                <c:pt idx="5">
                  <c:v>155639</c:v>
                </c:pt>
              </c:numCache>
            </c:numRef>
          </c:val>
          <c:extLst>
            <c:ext xmlns:c16="http://schemas.microsoft.com/office/drawing/2014/chart" uri="{C3380CC4-5D6E-409C-BE32-E72D297353CC}">
              <c16:uniqueId val="{0000000B-AEB2-42CD-9391-346B7C11BF8D}"/>
            </c:ext>
          </c:extLst>
        </c:ser>
        <c:dLbls>
          <c:showLegendKey val="0"/>
          <c:showVal val="0"/>
          <c:showCatName val="0"/>
          <c:showSerName val="0"/>
          <c:showPercent val="1"/>
          <c:showBubbleSize val="0"/>
          <c:showLeaderLines val="1"/>
        </c:dLbls>
      </c:pie3D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ADD-4606-AA72-36F9B4F1B9F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ADD-4606-AA72-36F9B4F1B9F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ADD-4606-AA72-36F9B4F1B9F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ADD-4606-AA72-36F9B4F1B9F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ADD-4606-AA72-36F9B4F1B9F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ADD-4606-AA72-36F9B4F1B9FA}"/>
              </c:ext>
            </c:extLst>
          </c:dPt>
          <c:dLbls>
            <c:dLbl>
              <c:idx val="0"/>
              <c:layout>
                <c:manualLayout>
                  <c:x val="-2.9461279461279462E-2"/>
                  <c:y val="0.1956947162426613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ADD-4606-AA72-36F9B4F1B9FA}"/>
                </c:ext>
              </c:extLst>
            </c:dLbl>
            <c:dLbl>
              <c:idx val="2"/>
              <c:layout>
                <c:manualLayout>
                  <c:x val="0"/>
                  <c:y val="-0.1011089367253751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724525043177892"/>
                      <c:h val="0.12820007088155078"/>
                    </c:manualLayout>
                  </c15:layout>
                </c:ext>
                <c:ext xmlns:c16="http://schemas.microsoft.com/office/drawing/2014/chart" uri="{C3380CC4-5D6E-409C-BE32-E72D297353CC}">
                  <c16:uniqueId val="{00000005-4ADD-4606-AA72-36F9B4F1B9FA}"/>
                </c:ext>
              </c:extLst>
            </c:dLbl>
            <c:dLbl>
              <c:idx val="3"/>
              <c:layout>
                <c:manualLayout>
                  <c:x val="-5.3972366148531951E-2"/>
                  <c:y val="-3.91389432485322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ADD-4606-AA72-36F9B4F1B9FA}"/>
                </c:ext>
              </c:extLst>
            </c:dLbl>
            <c:dLbl>
              <c:idx val="4"/>
              <c:layout>
                <c:manualLayout>
                  <c:x val="3.238341968911921E-2"/>
                  <c:y val="-4.892367906066535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ADD-4606-AA72-36F9B4F1B9FA}"/>
                </c:ext>
              </c:extLst>
            </c:dLbl>
            <c:dLbl>
              <c:idx val="5"/>
              <c:layout>
                <c:manualLayout>
                  <c:x val="0.23316062176165811"/>
                  <c:y val="-3.261578604044356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ADD-4606-AA72-36F9B4F1B9F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Sheet1!$A$3:$A$8</c:f>
              <c:strCache>
                <c:ptCount val="6"/>
                <c:pt idx="0">
                  <c:v>Kārtējie izdevumi</c:v>
                </c:pt>
                <c:pt idx="1">
                  <c:v>Procentu izdevumi</c:v>
                </c:pt>
                <c:pt idx="2">
                  <c:v>Pamatkapitāla veidošana</c:v>
                </c:pt>
                <c:pt idx="3">
                  <c:v>Subsīdijas un dotācijas</c:v>
                </c:pt>
                <c:pt idx="4">
                  <c:v>Sociālie pabalsti</c:v>
                </c:pt>
                <c:pt idx="5">
                  <c:v>Uzturēšanas izdevumu transferti</c:v>
                </c:pt>
              </c:strCache>
            </c:strRef>
          </c:cat>
          <c:val>
            <c:numRef>
              <c:f>Sheet1!$D$3:$D$8</c:f>
              <c:numCache>
                <c:formatCode>General</c:formatCode>
                <c:ptCount val="6"/>
                <c:pt idx="0">
                  <c:v>65.97</c:v>
                </c:pt>
                <c:pt idx="1">
                  <c:v>0.15</c:v>
                </c:pt>
                <c:pt idx="2">
                  <c:v>25.01</c:v>
                </c:pt>
                <c:pt idx="3">
                  <c:v>3.74</c:v>
                </c:pt>
                <c:pt idx="4">
                  <c:v>4.3099999999999996</c:v>
                </c:pt>
                <c:pt idx="5">
                  <c:v>0.82</c:v>
                </c:pt>
              </c:numCache>
            </c:numRef>
          </c:val>
          <c:extLst>
            <c:ext xmlns:c16="http://schemas.microsoft.com/office/drawing/2014/chart" uri="{C3380CC4-5D6E-409C-BE32-E72D297353CC}">
              <c16:uniqueId val="{0000000C-4ADD-4606-AA72-36F9B4F1B9FA}"/>
            </c:ext>
          </c:extLst>
        </c:ser>
        <c:dLbls>
          <c:dLblPos val="outEnd"/>
          <c:showLegendKey val="0"/>
          <c:showVal val="1"/>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946923204986936E-2"/>
          <c:y val="6.2499845601404584E-2"/>
          <c:w val="0.83192636551522336"/>
          <c:h val="0.8098873156525043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75E-44F5-AD44-716097FF8F5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75E-44F5-AD44-716097FF8F5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75E-44F5-AD44-716097FF8F5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75E-44F5-AD44-716097FF8F5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75E-44F5-AD44-716097FF8F5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75E-44F5-AD44-716097FF8F5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75E-44F5-AD44-716097FF8F5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75E-44F5-AD44-716097FF8F5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75E-44F5-AD44-716097FF8F5D}"/>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75E-44F5-AD44-716097FF8F5D}"/>
              </c:ext>
            </c:extLst>
          </c:dPt>
          <c:dLbls>
            <c:dLbl>
              <c:idx val="0"/>
              <c:layout>
                <c:manualLayout>
                  <c:x val="-0.12845106147494889"/>
                  <c:y val="-3.5855832344815423E-2"/>
                </c:manualLayout>
              </c:layout>
              <c:tx>
                <c:rich>
                  <a:bodyPr/>
                  <a:lstStyle/>
                  <a:p>
                    <a:r>
                      <a:rPr lang="en-US"/>
                      <a:t>Izpildvaras institūcijas;</a:t>
                    </a:r>
                    <a:r>
                      <a:rPr lang="en-US" baseline="0"/>
                      <a:t> </a:t>
                    </a:r>
                    <a:r>
                      <a:rPr lang="en-US"/>
                      <a:t>5,03%</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75E-44F5-AD44-716097FF8F5D}"/>
                </c:ext>
              </c:extLst>
            </c:dLbl>
            <c:dLbl>
              <c:idx val="1"/>
              <c:delete val="1"/>
              <c:extLst>
                <c:ext xmlns:c15="http://schemas.microsoft.com/office/drawing/2012/chart" uri="{CE6537A1-D6FC-4f65-9D91-7224C49458BB}"/>
                <c:ext xmlns:c16="http://schemas.microsoft.com/office/drawing/2014/chart" uri="{C3380CC4-5D6E-409C-BE32-E72D297353CC}">
                  <c16:uniqueId val="{00000003-375E-44F5-AD44-716097FF8F5D}"/>
                </c:ext>
              </c:extLst>
            </c:dLbl>
            <c:dLbl>
              <c:idx val="2"/>
              <c:layout>
                <c:manualLayout>
                  <c:x val="-1.5167381367924716E-2"/>
                  <c:y val="-4.414624176722538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Sabiedriskā kārtība un drošība; 0,96%</a:t>
                    </a:r>
                  </a:p>
                  <a:p>
                    <a:pPr>
                      <a:defRPr/>
                    </a:pP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17491188261279858"/>
                      <c:h val="7.2439406558969396E-2"/>
                    </c:manualLayout>
                  </c15:layout>
                  <c15:showDataLabelsRange val="0"/>
                </c:ext>
                <c:ext xmlns:c16="http://schemas.microsoft.com/office/drawing/2014/chart" uri="{C3380CC4-5D6E-409C-BE32-E72D297353CC}">
                  <c16:uniqueId val="{00000005-375E-44F5-AD44-716097FF8F5D}"/>
                </c:ext>
              </c:extLst>
            </c:dLbl>
            <c:dLbl>
              <c:idx val="3"/>
              <c:layout>
                <c:manualLayout>
                  <c:x val="8.6454133687541582E-2"/>
                  <c:y val="-3.1373794588108662E-2"/>
                </c:manualLayout>
              </c:layout>
              <c:tx>
                <c:rich>
                  <a:bodyPr/>
                  <a:lstStyle/>
                  <a:p>
                    <a:r>
                      <a:rPr lang="en-US"/>
                      <a:t>Ekonomiskā darbība;</a:t>
                    </a:r>
                  </a:p>
                  <a:p>
                    <a:r>
                      <a:rPr lang="en-US"/>
                      <a:t>7,6%</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75E-44F5-AD44-716097FF8F5D}"/>
                </c:ext>
              </c:extLst>
            </c:dLbl>
            <c:dLbl>
              <c:idx val="4"/>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Vides aizsardzība; </a:t>
                    </a:r>
                  </a:p>
                  <a:p>
                    <a:pPr>
                      <a:defRPr/>
                    </a:pPr>
                    <a:r>
                      <a:rPr lang="en-US"/>
                      <a:t>1,46% </a:t>
                    </a:r>
                  </a:p>
                  <a:p>
                    <a:pPr>
                      <a:defRPr/>
                    </a:pP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1"/>
              <c:showSerName val="0"/>
              <c:showPercent val="1"/>
              <c:showBubbleSize val="0"/>
              <c:extLst>
                <c:ext xmlns:c15="http://schemas.microsoft.com/office/drawing/2012/chart" uri="{CE6537A1-D6FC-4f65-9D91-7224C49458BB}">
                  <c15:layout>
                    <c:manualLayout>
                      <c:w val="0.14239484049979084"/>
                      <c:h val="7.2439406558969396E-2"/>
                    </c:manualLayout>
                  </c15:layout>
                  <c15:showDataLabelsRange val="0"/>
                </c:ext>
                <c:ext xmlns:c16="http://schemas.microsoft.com/office/drawing/2014/chart" uri="{C3380CC4-5D6E-409C-BE32-E72D297353CC}">
                  <c16:uniqueId val="{00000009-375E-44F5-AD44-716097FF8F5D}"/>
                </c:ext>
              </c:extLst>
            </c:dLbl>
            <c:dLbl>
              <c:idx val="5"/>
              <c:layout>
                <c:manualLayout>
                  <c:x val="5.4602610750026224E-2"/>
                  <c:y val="-2.0542128199700874E-17"/>
                </c:manualLayout>
              </c:layout>
              <c:tx>
                <c:rich>
                  <a:bodyPr/>
                  <a:lstStyle/>
                  <a:p>
                    <a:r>
                      <a:rPr lang="lv-LV"/>
                      <a:t>Teritoriju, mājokļu apsaimniekošana; </a:t>
                    </a:r>
                  </a:p>
                  <a:p>
                    <a:r>
                      <a:rPr lang="lv-LV"/>
                      <a:t>12,51%</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375E-44F5-AD44-716097FF8F5D}"/>
                </c:ext>
              </c:extLst>
            </c:dLbl>
            <c:dLbl>
              <c:idx val="6"/>
              <c:layout>
                <c:manualLayout>
                  <c:x val="6.638269097523835E-3"/>
                  <c:y val="-0.11477383356664569"/>
                </c:manualLayout>
              </c:layout>
              <c:tx>
                <c:rich>
                  <a:bodyPr/>
                  <a:lstStyle/>
                  <a:p>
                    <a:r>
                      <a:rPr lang="en-US"/>
                      <a:t>Veselība;</a:t>
                    </a:r>
                    <a:r>
                      <a:rPr lang="en-US" baseline="0"/>
                      <a:t> </a:t>
                    </a:r>
                    <a:r>
                      <a:rPr lang="en-US"/>
                      <a:t>0,38%</a:t>
                    </a:r>
                  </a:p>
                  <a:p>
                    <a:endParaRPr lang="en-US"/>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375E-44F5-AD44-716097FF8F5D}"/>
                </c:ext>
              </c:extLst>
            </c:dLbl>
            <c:dLbl>
              <c:idx val="7"/>
              <c:layout>
                <c:manualLayout>
                  <c:x val="-0.16164947177187966"/>
                  <c:y val="0.21179871703868433"/>
                </c:manualLayout>
              </c:layout>
              <c:tx>
                <c:rich>
                  <a:bodyPr/>
                  <a:lstStyle/>
                  <a:p>
                    <a:r>
                      <a:rPr lang="lv-LV"/>
                      <a:t>Atpūta, kutūra un reliģija</a:t>
                    </a:r>
                  </a:p>
                  <a:p>
                    <a:r>
                      <a:rPr lang="lv-LV"/>
                      <a:t>10,75%</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375E-44F5-AD44-716097FF8F5D}"/>
                </c:ext>
              </c:extLst>
            </c:dLbl>
            <c:dLbl>
              <c:idx val="8"/>
              <c:layout>
                <c:manualLayout>
                  <c:x val="2.6289333085850197E-2"/>
                  <c:y val="0.1480054418316834"/>
                </c:manualLayout>
              </c:layout>
              <c:tx>
                <c:rich>
                  <a:bodyPr/>
                  <a:lstStyle/>
                  <a:p>
                    <a:r>
                      <a:rPr lang="en-US"/>
                      <a:t>Izglītība;</a:t>
                    </a:r>
                  </a:p>
                  <a:p>
                    <a:r>
                      <a:rPr lang="en-US"/>
                      <a:t>50,16%</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1-375E-44F5-AD44-716097FF8F5D}"/>
                </c:ext>
              </c:extLst>
            </c:dLbl>
            <c:dLbl>
              <c:idx val="9"/>
              <c:layout>
                <c:manualLayout>
                  <c:x val="-9.1004351250043886E-2"/>
                  <c:y val="-6.7229559831661415E-3"/>
                </c:manualLayout>
              </c:layout>
              <c:tx>
                <c:rich>
                  <a:bodyPr/>
                  <a:lstStyle/>
                  <a:p>
                    <a:r>
                      <a:rPr lang="en-US"/>
                      <a:t>Sociālā aizsardzība; 11,17%</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3-375E-44F5-AD44-716097FF8F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(PB_izd_2!$I$4:$I$5,PB_izd_2!$I$8:$I$15)</c:f>
              <c:strCache>
                <c:ptCount val="10"/>
                <c:pt idx="0">
                  <c:v>Izpildvaras institūcijas</c:v>
                </c:pt>
                <c:pt idx="1">
                  <c:v>Pašvaldību budžetu parāda procentu maksājumi</c:v>
                </c:pt>
                <c:pt idx="2">
                  <c:v>Sabiedriskā kārtība un drošība</c:v>
                </c:pt>
                <c:pt idx="3">
                  <c:v>Ekonomiskā darbība</c:v>
                </c:pt>
                <c:pt idx="4">
                  <c:v>Vides aizsardzība</c:v>
                </c:pt>
                <c:pt idx="5">
                  <c:v>Pašvaldības teritoriju un mājokļu apsaimniekošana</c:v>
                </c:pt>
                <c:pt idx="6">
                  <c:v>Veselība</c:v>
                </c:pt>
                <c:pt idx="7">
                  <c:v>Atpūta, kultūra un reliģija</c:v>
                </c:pt>
                <c:pt idx="8">
                  <c:v>Izglītība</c:v>
                </c:pt>
                <c:pt idx="9">
                  <c:v>Sociālā aizsardzība</c:v>
                </c:pt>
              </c:strCache>
            </c:strRef>
          </c:cat>
          <c:val>
            <c:numRef>
              <c:f>(PB_izd_2!$K$4:$K$5,PB_izd_2!$K$8:$K$15)</c:f>
              <c:numCache>
                <c:formatCode>#,##0</c:formatCode>
                <c:ptCount val="10"/>
                <c:pt idx="0">
                  <c:v>4778811</c:v>
                </c:pt>
                <c:pt idx="1">
                  <c:v>231482</c:v>
                </c:pt>
                <c:pt idx="2">
                  <c:v>963682</c:v>
                </c:pt>
                <c:pt idx="3">
                  <c:v>7649081</c:v>
                </c:pt>
                <c:pt idx="4">
                  <c:v>1468038</c:v>
                </c:pt>
                <c:pt idx="5">
                  <c:v>12597680</c:v>
                </c:pt>
                <c:pt idx="6">
                  <c:v>383270</c:v>
                </c:pt>
                <c:pt idx="7">
                  <c:v>10831382</c:v>
                </c:pt>
                <c:pt idx="8">
                  <c:v>50512339</c:v>
                </c:pt>
                <c:pt idx="9">
                  <c:v>11245921</c:v>
                </c:pt>
              </c:numCache>
            </c:numRef>
          </c:val>
          <c:extLst>
            <c:ext xmlns:c16="http://schemas.microsoft.com/office/drawing/2014/chart" uri="{C3380CC4-5D6E-409C-BE32-E72D297353CC}">
              <c16:uniqueId val="{00000014-375E-44F5-AD44-716097FF8F5D}"/>
            </c:ext>
          </c:extLst>
        </c:ser>
        <c:dLbls>
          <c:dLblPos val="outEnd"/>
          <c:showLegendKey val="0"/>
          <c:showVal val="1"/>
          <c:showCatName val="0"/>
          <c:showSerName val="0"/>
          <c:showPercent val="0"/>
          <c:showBubbleSize val="0"/>
          <c:showLeaderLines val="1"/>
        </c:dLbls>
        <c:extLst>
          <c:ext xmlns:c15="http://schemas.microsoft.com/office/drawing/2012/chart" uri="{02D57815-91ED-43cb-92C2-25804820EDAC}">
            <c15:filteredPieSeries>
              <c15: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6-375E-44F5-AD44-716097FF8F5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8-375E-44F5-AD44-716097FF8F5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A-375E-44F5-AD44-716097FF8F5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C-375E-44F5-AD44-716097FF8F5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E-375E-44F5-AD44-716097FF8F5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0-375E-44F5-AD44-716097FF8F5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375E-44F5-AD44-716097FF8F5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375E-44F5-AD44-716097FF8F5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375E-44F5-AD44-716097FF8F5D}"/>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375E-44F5-AD44-716097FF8F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(PB_izd_2!$I$4:$I$5,PB_izd_2!$I$8:$I$15)</c15:sqref>
                        </c15:formulaRef>
                      </c:ext>
                    </c:extLst>
                    <c:strCache>
                      <c:ptCount val="10"/>
                      <c:pt idx="0">
                        <c:v>Izpildvaras institūcijas</c:v>
                      </c:pt>
                      <c:pt idx="1">
                        <c:v>Pašvaldību budžetu parāda procentu maksājumi</c:v>
                      </c:pt>
                      <c:pt idx="2">
                        <c:v>Sabiedriskā kārtība un drošība</c:v>
                      </c:pt>
                      <c:pt idx="3">
                        <c:v>Ekonomiskā darbība</c:v>
                      </c:pt>
                      <c:pt idx="4">
                        <c:v>Vides aizsardzība</c:v>
                      </c:pt>
                      <c:pt idx="5">
                        <c:v>Pašvaldības teritoriju un mājokļu apsaimniekošana</c:v>
                      </c:pt>
                      <c:pt idx="6">
                        <c:v>Veselība</c:v>
                      </c:pt>
                      <c:pt idx="7">
                        <c:v>Atpūta, kultūra un reliģija</c:v>
                      </c:pt>
                      <c:pt idx="8">
                        <c:v>Izglītība</c:v>
                      </c:pt>
                      <c:pt idx="9">
                        <c:v>Sociālā aizsardzība</c:v>
                      </c:pt>
                    </c:strCache>
                  </c:strRef>
                </c:cat>
                <c:val>
                  <c:numRef>
                    <c:extLst>
                      <c:ext uri="{02D57815-91ED-43cb-92C2-25804820EDAC}">
                        <c15:formulaRef>
                          <c15:sqref>(PB_izd_2!$L$4:$L$5,PB_izd_2!$L$8:$L$15)</c15:sqref>
                        </c15:formulaRef>
                      </c:ext>
                    </c:extLst>
                    <c:numCache>
                      <c:formatCode>0.0</c:formatCode>
                      <c:ptCount val="10"/>
                      <c:pt idx="0">
                        <c:v>4.75</c:v>
                      </c:pt>
                      <c:pt idx="1">
                        <c:v>0.23</c:v>
                      </c:pt>
                      <c:pt idx="2">
                        <c:v>0.96</c:v>
                      </c:pt>
                      <c:pt idx="3">
                        <c:v>7.6</c:v>
                      </c:pt>
                      <c:pt idx="4">
                        <c:v>1.46</c:v>
                      </c:pt>
                      <c:pt idx="5">
                        <c:v>12.51</c:v>
                      </c:pt>
                      <c:pt idx="6">
                        <c:v>0.38</c:v>
                      </c:pt>
                      <c:pt idx="7">
                        <c:v>10.75</c:v>
                      </c:pt>
                      <c:pt idx="8">
                        <c:v>50.16</c:v>
                      </c:pt>
                      <c:pt idx="9">
                        <c:v>11.17</c:v>
                      </c:pt>
                    </c:numCache>
                  </c:numRef>
                </c:val>
                <c:extLst>
                  <c:ext xmlns:c16="http://schemas.microsoft.com/office/drawing/2014/chart" uri="{C3380CC4-5D6E-409C-BE32-E72D297353CC}">
                    <c16:uniqueId val="{00000029-375E-44F5-AD44-716097FF8F5D}"/>
                  </c:ext>
                </c:extLst>
              </c15:ser>
            </c15:filteredPieSeries>
          </c:ext>
        </c:extLst>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13553</Words>
  <Characters>7726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{KORESP}</vt:lpstr>
    </vt:vector>
  </TitlesOfParts>
  <Company>Valmieras pilsetas pasvaldiba</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dc:title>
  <dc:subject/>
  <dc:creator>IT nodala</dc:creator>
  <cp:keywords/>
  <dc:description/>
  <cp:lastModifiedBy>Rita Pole</cp:lastModifiedBy>
  <cp:revision>9</cp:revision>
  <dcterms:created xsi:type="dcterms:W3CDTF">2023-01-02T10:46:00Z</dcterms:created>
  <dcterms:modified xsi:type="dcterms:W3CDTF">2023-04-25T05:34:00Z</dcterms:modified>
</cp:coreProperties>
</file>